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596D7">
      <w:pPr>
        <w:ind w:firstLine="640"/>
        <w:rPr>
          <w:rFonts w:eastAsia="黑体" w:cs="Times New Roman"/>
          <w:color w:val="000000" w:themeColor="text1"/>
          <w14:textFill>
            <w14:solidFill>
              <w14:schemeClr w14:val="tx1"/>
            </w14:solidFill>
          </w14:textFill>
        </w:rPr>
      </w:pPr>
      <w:r>
        <w:rPr>
          <w:rFonts w:eastAsia="黑体" w:cs="Times New Roman"/>
          <w:color w:val="000000" w:themeColor="text1"/>
          <w14:textFill>
            <w14:solidFill>
              <w14:schemeClr w14:val="tx1"/>
            </w14:solidFill>
          </w14:textFill>
        </w:rPr>
        <w:t>附件</w:t>
      </w:r>
      <w:r>
        <w:rPr>
          <w:rFonts w:hint="eastAsia" w:eastAsia="黑体" w:cs="Times New Roman"/>
          <w:color w:val="000000" w:themeColor="text1"/>
          <w14:textFill>
            <w14:solidFill>
              <w14:schemeClr w14:val="tx1"/>
            </w14:solidFill>
          </w14:textFill>
        </w:rPr>
        <w:t>1</w:t>
      </w:r>
    </w:p>
    <w:p w14:paraId="52C9899D">
      <w:pPr>
        <w:ind w:firstLine="640"/>
        <w:rPr>
          <w:rFonts w:cs="Times New Roman"/>
          <w:color w:val="000000" w:themeColor="text1"/>
          <w14:textFill>
            <w14:solidFill>
              <w14:schemeClr w14:val="tx1"/>
            </w14:solidFill>
          </w14:textFill>
        </w:rPr>
      </w:pPr>
    </w:p>
    <w:p w14:paraId="0BC51733">
      <w:pPr>
        <w:ind w:firstLine="640"/>
        <w:rPr>
          <w:rFonts w:cs="Times New Roman"/>
          <w:color w:val="000000" w:themeColor="text1"/>
          <w14:textFill>
            <w14:solidFill>
              <w14:schemeClr w14:val="tx1"/>
            </w14:solidFill>
          </w14:textFill>
        </w:rPr>
      </w:pPr>
    </w:p>
    <w:p w14:paraId="0745CDF8">
      <w:pPr>
        <w:ind w:firstLine="640"/>
        <w:rPr>
          <w:rFonts w:cs="Times New Roman"/>
          <w:color w:val="000000" w:themeColor="text1"/>
          <w14:textFill>
            <w14:solidFill>
              <w14:schemeClr w14:val="tx1"/>
            </w14:solidFill>
          </w14:textFill>
        </w:rPr>
      </w:pPr>
    </w:p>
    <w:p w14:paraId="1FA71238">
      <w:pPr>
        <w:pStyle w:val="26"/>
        <w:spacing w:line="360" w:lineRule="auto"/>
        <w:rPr>
          <w:rFonts w:ascii="Times New Roman" w:hAnsi="Times New Roman"/>
          <w:b w:val="0"/>
          <w:color w:val="000000" w:themeColor="text1"/>
          <w:sz w:val="56"/>
          <w:szCs w:val="60"/>
          <w14:textFill>
            <w14:solidFill>
              <w14:schemeClr w14:val="tx1"/>
            </w14:solidFill>
          </w14:textFill>
        </w:rPr>
      </w:pPr>
      <w:bookmarkStart w:id="0" w:name="_Toc26381"/>
      <w:bookmarkStart w:id="1" w:name="_Toc19146"/>
      <w:bookmarkStart w:id="2" w:name="_Toc19961"/>
      <w:bookmarkStart w:id="3" w:name="_Toc23799"/>
      <w:bookmarkStart w:id="4" w:name="_Toc1149825622"/>
      <w:bookmarkStart w:id="5" w:name="_Toc1030944376"/>
      <w:bookmarkStart w:id="6" w:name="_Toc14033"/>
      <w:bookmarkStart w:id="7" w:name="_Toc141903149"/>
      <w:bookmarkStart w:id="8" w:name="_Toc831981618"/>
      <w:bookmarkStart w:id="9" w:name="_Toc531483089"/>
      <w:r>
        <w:rPr>
          <w:rFonts w:ascii="Times New Roman" w:hAnsi="Times New Roman"/>
          <w:b w:val="0"/>
          <w:color w:val="000000" w:themeColor="text1"/>
          <w:sz w:val="56"/>
          <w:szCs w:val="60"/>
          <w14:textFill>
            <w14:solidFill>
              <w14:schemeClr w14:val="tx1"/>
            </w14:solidFill>
          </w14:textFill>
        </w:rPr>
        <w:t>宁波市产业链标杆项目</w:t>
      </w:r>
      <w:r>
        <w:rPr>
          <w:rFonts w:ascii="Times New Roman" w:hAnsi="Times New Roman"/>
          <w:b w:val="0"/>
          <w:color w:val="000000" w:themeColor="text1"/>
          <w:sz w:val="56"/>
          <w:szCs w:val="60"/>
          <w14:textFill>
            <w14:solidFill>
              <w14:schemeClr w14:val="tx1"/>
            </w14:solidFill>
          </w14:textFill>
        </w:rPr>
        <w:br w:type="textWrapping"/>
      </w:r>
      <w:r>
        <w:rPr>
          <w:rFonts w:ascii="Times New Roman" w:hAnsi="Times New Roman"/>
          <w:b w:val="0"/>
          <w:color w:val="000000" w:themeColor="text1"/>
          <w:sz w:val="56"/>
          <w:szCs w:val="60"/>
          <w14:textFill>
            <w14:solidFill>
              <w14:schemeClr w14:val="tx1"/>
            </w14:solidFill>
          </w14:textFill>
        </w:rPr>
        <w:t>重点方向领域指南</w:t>
      </w:r>
      <w:bookmarkEnd w:id="0"/>
      <w:bookmarkEnd w:id="1"/>
      <w:bookmarkEnd w:id="2"/>
      <w:r>
        <w:rPr>
          <w:rFonts w:ascii="Times New Roman" w:hAnsi="Times New Roman"/>
          <w:b w:val="0"/>
          <w:color w:val="000000" w:themeColor="text1"/>
          <w:sz w:val="56"/>
          <w:szCs w:val="60"/>
          <w14:textFill>
            <w14:solidFill>
              <w14:schemeClr w14:val="tx1"/>
            </w14:solidFill>
          </w14:textFill>
        </w:rPr>
        <w:br w:type="textWrapping"/>
      </w:r>
      <w:r>
        <w:rPr>
          <w:rFonts w:ascii="Times New Roman" w:hAnsi="Times New Roman"/>
          <w:b w:val="0"/>
          <w:color w:val="000000" w:themeColor="text1"/>
          <w:sz w:val="56"/>
          <w:szCs w:val="60"/>
          <w14:textFill>
            <w14:solidFill>
              <w14:schemeClr w14:val="tx1"/>
            </w14:solidFill>
          </w14:textFill>
        </w:rPr>
        <w:t>（202</w:t>
      </w:r>
      <w:r>
        <w:rPr>
          <w:rFonts w:hint="eastAsia" w:ascii="Times New Roman" w:hAnsi="Times New Roman"/>
          <w:b w:val="0"/>
          <w:color w:val="000000" w:themeColor="text1"/>
          <w:sz w:val="56"/>
          <w:szCs w:val="60"/>
          <w14:textFill>
            <w14:solidFill>
              <w14:schemeClr w14:val="tx1"/>
            </w14:solidFill>
          </w14:textFill>
        </w:rPr>
        <w:t>6</w:t>
      </w:r>
      <w:r>
        <w:rPr>
          <w:rFonts w:ascii="Times New Roman" w:hAnsi="Times New Roman"/>
          <w:b w:val="0"/>
          <w:color w:val="000000" w:themeColor="text1"/>
          <w:sz w:val="56"/>
          <w:szCs w:val="60"/>
          <w14:textFill>
            <w14:solidFill>
              <w14:schemeClr w14:val="tx1"/>
            </w14:solidFill>
          </w14:textFill>
        </w:rPr>
        <w:t>版）</w:t>
      </w:r>
      <w:bookmarkEnd w:id="3"/>
      <w:bookmarkEnd w:id="4"/>
      <w:bookmarkEnd w:id="5"/>
      <w:bookmarkEnd w:id="6"/>
      <w:bookmarkEnd w:id="7"/>
      <w:bookmarkEnd w:id="8"/>
      <w:bookmarkEnd w:id="9"/>
    </w:p>
    <w:p w14:paraId="54AB9C27">
      <w:pPr>
        <w:ind w:firstLine="640"/>
        <w:rPr>
          <w:rFonts w:cs="Times New Roman"/>
          <w:color w:val="000000" w:themeColor="text1"/>
          <w14:textFill>
            <w14:solidFill>
              <w14:schemeClr w14:val="tx1"/>
            </w14:solidFill>
          </w14:textFill>
        </w:rPr>
      </w:pPr>
    </w:p>
    <w:p w14:paraId="38FEF47A">
      <w:pPr>
        <w:ind w:firstLine="640"/>
        <w:rPr>
          <w:rFonts w:cs="Times New Roman"/>
          <w:color w:val="000000" w:themeColor="text1"/>
          <w14:textFill>
            <w14:solidFill>
              <w14:schemeClr w14:val="tx1"/>
            </w14:solidFill>
          </w14:textFill>
        </w:rPr>
      </w:pPr>
    </w:p>
    <w:p w14:paraId="15E96F55">
      <w:pPr>
        <w:ind w:firstLine="640"/>
        <w:rPr>
          <w:rFonts w:hint="eastAsia" w:cs="Times New Roman"/>
          <w:color w:val="000000" w:themeColor="text1"/>
          <w14:textFill>
            <w14:solidFill>
              <w14:schemeClr w14:val="tx1"/>
            </w14:solidFill>
          </w14:textFill>
        </w:rPr>
      </w:pPr>
    </w:p>
    <w:p w14:paraId="7FD7D88B">
      <w:pPr>
        <w:ind w:firstLine="640"/>
        <w:rPr>
          <w:rFonts w:hint="eastAsia" w:cs="Times New Roman"/>
          <w:color w:val="000000" w:themeColor="text1"/>
          <w14:textFill>
            <w14:solidFill>
              <w14:schemeClr w14:val="tx1"/>
            </w14:solidFill>
          </w14:textFill>
        </w:rPr>
      </w:pPr>
    </w:p>
    <w:p w14:paraId="576CA8AA">
      <w:pPr>
        <w:ind w:firstLine="640"/>
        <w:rPr>
          <w:rFonts w:cs="Times New Roman"/>
          <w:color w:val="000000" w:themeColor="text1"/>
          <w14:textFill>
            <w14:solidFill>
              <w14:schemeClr w14:val="tx1"/>
            </w14:solidFill>
          </w14:textFill>
        </w:rPr>
      </w:pPr>
    </w:p>
    <w:p w14:paraId="3D61042D">
      <w:pPr>
        <w:ind w:firstLine="640"/>
        <w:rPr>
          <w:rFonts w:cs="Times New Roman"/>
          <w:color w:val="000000" w:themeColor="text1"/>
          <w14:textFill>
            <w14:solidFill>
              <w14:schemeClr w14:val="tx1"/>
            </w14:solidFill>
          </w14:textFill>
        </w:rPr>
      </w:pPr>
    </w:p>
    <w:p w14:paraId="5B6F8D31">
      <w:pPr>
        <w:ind w:firstLine="640"/>
        <w:rPr>
          <w:rFonts w:cs="Times New Roman"/>
          <w:color w:val="000000" w:themeColor="text1"/>
          <w14:textFill>
            <w14:solidFill>
              <w14:schemeClr w14:val="tx1"/>
            </w14:solidFill>
          </w14:textFill>
        </w:rPr>
      </w:pPr>
    </w:p>
    <w:p w14:paraId="663274BC">
      <w:pPr>
        <w:ind w:firstLine="640"/>
        <w:rPr>
          <w:rFonts w:cs="Times New Roman"/>
          <w:color w:val="000000" w:themeColor="text1"/>
          <w14:textFill>
            <w14:solidFill>
              <w14:schemeClr w14:val="tx1"/>
            </w14:solidFill>
          </w14:textFill>
        </w:rPr>
      </w:pPr>
    </w:p>
    <w:p w14:paraId="656BF8AE">
      <w:pPr>
        <w:ind w:firstLine="640"/>
        <w:rPr>
          <w:rFonts w:cs="Times New Roman"/>
          <w:color w:val="000000" w:themeColor="text1"/>
          <w14:textFill>
            <w14:solidFill>
              <w14:schemeClr w14:val="tx1"/>
            </w14:solidFill>
          </w14:textFill>
        </w:rPr>
      </w:pPr>
    </w:p>
    <w:p w14:paraId="3064C5C5">
      <w:pPr>
        <w:ind w:firstLine="640"/>
        <w:rPr>
          <w:rFonts w:cs="Times New Roman"/>
          <w:color w:val="000000" w:themeColor="text1"/>
          <w14:textFill>
            <w14:solidFill>
              <w14:schemeClr w14:val="tx1"/>
            </w14:solidFill>
          </w14:textFill>
        </w:rPr>
      </w:pPr>
    </w:p>
    <w:p w14:paraId="6F6D8CD8">
      <w:pPr>
        <w:pStyle w:val="14"/>
        <w:ind w:firstLine="0" w:firstLineChars="0"/>
        <w:outlineLvl w:val="0"/>
        <w:rPr>
          <w:rFonts w:ascii="Times New Roman" w:cs="Times New Roman"/>
          <w:color w:val="000000" w:themeColor="text1"/>
          <w:szCs w:val="32"/>
          <w14:textFill>
            <w14:solidFill>
              <w14:schemeClr w14:val="tx1"/>
            </w14:solidFill>
          </w14:textFill>
        </w:rPr>
      </w:pPr>
      <w:bookmarkStart w:id="10" w:name="_Toc1758591144"/>
      <w:bookmarkStart w:id="11" w:name="_Toc7609"/>
      <w:bookmarkStart w:id="12" w:name="_Toc24736"/>
      <w:bookmarkStart w:id="13" w:name="_Toc17513"/>
      <w:bookmarkStart w:id="14" w:name="_Toc288860124"/>
      <w:bookmarkStart w:id="15" w:name="_Toc1610753827"/>
      <w:bookmarkStart w:id="16" w:name="_Toc27998"/>
      <w:bookmarkStart w:id="17" w:name="_Toc23966"/>
      <w:bookmarkStart w:id="18" w:name="_Toc924444789"/>
      <w:bookmarkStart w:id="19" w:name="_Toc2017424310"/>
      <w:r>
        <w:rPr>
          <w:rFonts w:ascii="Times New Roman" w:cs="Times New Roman"/>
          <w:color w:val="000000" w:themeColor="text1"/>
          <w:szCs w:val="32"/>
          <w14:textFill>
            <w14:solidFill>
              <w14:schemeClr w14:val="tx1"/>
            </w14:solidFill>
          </w14:textFill>
        </w:rPr>
        <w:t>宁波市经济和信息化局</w:t>
      </w:r>
      <w:bookmarkEnd w:id="10"/>
      <w:bookmarkEnd w:id="11"/>
      <w:bookmarkEnd w:id="12"/>
      <w:bookmarkEnd w:id="13"/>
      <w:bookmarkEnd w:id="14"/>
      <w:bookmarkEnd w:id="15"/>
      <w:bookmarkEnd w:id="16"/>
      <w:bookmarkEnd w:id="17"/>
      <w:bookmarkEnd w:id="18"/>
      <w:bookmarkEnd w:id="19"/>
    </w:p>
    <w:p w14:paraId="63052034">
      <w:pPr>
        <w:pStyle w:val="9"/>
        <w:ind w:firstLine="0" w:firstLineChars="0"/>
        <w:rPr>
          <w:rFonts w:ascii="Times New Roman" w:cs="Times New Roman"/>
          <w:color w:val="000000" w:themeColor="text1"/>
          <w:szCs w:val="32"/>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814" w:left="1587" w:header="851" w:footer="992" w:gutter="0"/>
          <w:cols w:space="0" w:num="1"/>
          <w:docGrid w:type="lines" w:linePitch="312" w:charSpace="0"/>
        </w:sectPr>
      </w:pPr>
      <w:bookmarkStart w:id="20" w:name="_Toc1097"/>
      <w:bookmarkStart w:id="21" w:name="_Toc10779"/>
      <w:bookmarkStart w:id="22" w:name="_Toc1260911323"/>
      <w:bookmarkStart w:id="23" w:name="_Toc18507"/>
      <w:bookmarkStart w:id="24" w:name="_Toc24304"/>
      <w:bookmarkStart w:id="25" w:name="_Toc1631652168"/>
      <w:bookmarkStart w:id="26" w:name="_Toc3325"/>
      <w:bookmarkStart w:id="27" w:name="_Toc1206271905"/>
      <w:bookmarkStart w:id="28" w:name="_Toc1326222214"/>
      <w:bookmarkStart w:id="29" w:name="_Toc355745800"/>
      <w:r>
        <w:rPr>
          <w:rFonts w:ascii="Times New Roman" w:cs="Times New Roman"/>
          <w:color w:val="000000" w:themeColor="text1"/>
          <w:szCs w:val="32"/>
          <w14:textFill>
            <w14:solidFill>
              <w14:schemeClr w14:val="tx1"/>
            </w14:solidFill>
          </w14:textFill>
        </w:rPr>
        <w:t>202</w:t>
      </w:r>
      <w:r>
        <w:rPr>
          <w:rFonts w:hint="eastAsia" w:ascii="Times New Roman" w:cs="Times New Roman"/>
          <w:color w:val="000000" w:themeColor="text1"/>
          <w:szCs w:val="32"/>
          <w14:textFill>
            <w14:solidFill>
              <w14:schemeClr w14:val="tx1"/>
            </w14:solidFill>
          </w14:textFill>
        </w:rPr>
        <w:t>6</w:t>
      </w:r>
      <w:r>
        <w:rPr>
          <w:rFonts w:ascii="Times New Roman" w:cs="Times New Roman"/>
          <w:color w:val="000000" w:themeColor="text1"/>
          <w:szCs w:val="32"/>
          <w14:textFill>
            <w14:solidFill>
              <w14:schemeClr w14:val="tx1"/>
            </w14:solidFill>
          </w14:textFill>
        </w:rPr>
        <w:t>年</w:t>
      </w:r>
      <w:r>
        <w:rPr>
          <w:rFonts w:hint="eastAsia" w:ascii="Times New Roman" w:cs="Times New Roman"/>
          <w:color w:val="000000" w:themeColor="text1"/>
          <w:szCs w:val="32"/>
          <w14:textFill>
            <w14:solidFill>
              <w14:schemeClr w14:val="tx1"/>
            </w14:solidFill>
          </w14:textFill>
        </w:rPr>
        <w:t>9</w:t>
      </w:r>
      <w:r>
        <w:rPr>
          <w:rFonts w:ascii="Times New Roman" w:cs="Times New Roman"/>
          <w:color w:val="000000" w:themeColor="text1"/>
          <w:szCs w:val="32"/>
          <w14:textFill>
            <w14:solidFill>
              <w14:schemeClr w14:val="tx1"/>
            </w14:solidFill>
          </w14:textFill>
        </w:rPr>
        <w:t>月</w:t>
      </w:r>
      <w:bookmarkEnd w:id="20"/>
      <w:bookmarkEnd w:id="21"/>
      <w:bookmarkEnd w:id="22"/>
      <w:bookmarkEnd w:id="23"/>
      <w:bookmarkEnd w:id="24"/>
      <w:bookmarkEnd w:id="25"/>
      <w:bookmarkEnd w:id="26"/>
      <w:bookmarkEnd w:id="27"/>
      <w:bookmarkEnd w:id="28"/>
      <w:bookmarkEnd w:id="29"/>
    </w:p>
    <w:sdt>
      <w:sdtPr>
        <w:rPr>
          <w:rFonts w:eastAsia="宋体" w:cs="Times New Roman"/>
          <w:b/>
          <w:bCs/>
          <w:color w:val="000000" w:themeColor="text1"/>
          <w:kern w:val="44"/>
          <w:sz w:val="21"/>
          <w:szCs w:val="48"/>
          <w14:textFill>
            <w14:solidFill>
              <w14:schemeClr w14:val="tx1"/>
            </w14:solidFill>
          </w14:textFill>
        </w:rPr>
        <w:id w:val="147465873"/>
        <w:docPartObj>
          <w:docPartGallery w:val="Table of Contents"/>
          <w:docPartUnique/>
        </w:docPartObj>
      </w:sdtPr>
      <w:sdtEndPr>
        <w:rPr>
          <w:rFonts w:eastAsia="创艺简标宋" w:cs="Times New Roman"/>
          <w:b/>
          <w:bCs/>
          <w:color w:val="000000" w:themeColor="text1"/>
          <w:kern w:val="44"/>
          <w:sz w:val="44"/>
          <w:szCs w:val="48"/>
          <w14:textFill>
            <w14:solidFill>
              <w14:schemeClr w14:val="tx1"/>
            </w14:solidFill>
          </w14:textFill>
        </w:rPr>
      </w:sdtEndPr>
      <w:sdtContent>
        <w:p w14:paraId="6F728E76">
          <w:pPr>
            <w:spacing w:line="240" w:lineRule="auto"/>
            <w:ind w:firstLine="0" w:firstLineChars="0"/>
            <w:jc w:val="center"/>
            <w:rPr>
              <w:rStyle w:val="31"/>
              <w:rFonts w:hint="default" w:ascii="Times New Roman" w:hAnsi="Times New Roman" w:cs="Times New Roman"/>
              <w:color w:val="000000" w:themeColor="text1"/>
              <w:sz w:val="44"/>
              <w:szCs w:val="44"/>
              <w14:textFill>
                <w14:solidFill>
                  <w14:schemeClr w14:val="tx1"/>
                </w14:solidFill>
              </w14:textFill>
            </w:rPr>
          </w:pPr>
          <w:r>
            <w:rPr>
              <w:rStyle w:val="31"/>
              <w:rFonts w:hint="default" w:ascii="Times New Roman" w:hAnsi="Times New Roman" w:cs="Times New Roman"/>
              <w:color w:val="000000" w:themeColor="text1"/>
              <w:sz w:val="44"/>
              <w:szCs w:val="44"/>
              <w14:textFill>
                <w14:solidFill>
                  <w14:schemeClr w14:val="tx1"/>
                </w14:solidFill>
              </w14:textFill>
            </w:rPr>
            <w:t>目  录</w:t>
          </w:r>
        </w:p>
        <w:p w14:paraId="6122AA8F">
          <w:pPr>
            <w:pStyle w:val="13"/>
            <w:tabs>
              <w:tab w:val="right" w:leader="dot" w:pos="8845"/>
            </w:tabs>
            <w:ind w:firstLine="640"/>
            <w:rPr>
              <w:color w:val="000000" w:themeColor="text1"/>
              <w14:textFill>
                <w14:solidFill>
                  <w14:schemeClr w14:val="tx1"/>
                </w14:solidFill>
              </w14:textFill>
            </w:rPr>
          </w:pP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TOC \o "1-1" \h \u </w:instrText>
          </w:r>
          <w:r>
            <w:rPr>
              <w:rFonts w:cs="Times New Roman"/>
              <w:color w:val="000000" w:themeColor="text1"/>
              <w14:textFill>
                <w14:solidFill>
                  <w14:schemeClr w14:val="tx1"/>
                </w14:solidFill>
              </w14:textFill>
            </w:rPr>
            <w:fldChar w:fldCharType="separate"/>
          </w:r>
          <w:r>
            <w:fldChar w:fldCharType="begin"/>
          </w:r>
          <w:r>
            <w:instrText xml:space="preserve"> HYPERLINK \l "_Toc1728367807" </w:instrText>
          </w:r>
          <w:r>
            <w:fldChar w:fldCharType="separate"/>
          </w:r>
          <w:r>
            <w:rPr>
              <w:color w:val="000000" w:themeColor="text1"/>
              <w14:textFill>
                <w14:solidFill>
                  <w14:schemeClr w14:val="tx1"/>
                </w14:solidFill>
              </w14:textFill>
            </w:rPr>
            <w:t>1 人工智能与高端软件产业链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_Toc1728367807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6C2BF59">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"_Toc2058739967" </w:instrText>
          </w:r>
          <w:r>
            <w:fldChar w:fldCharType="separate"/>
          </w:r>
          <w:r>
            <w:rPr>
              <w:color w:val="000000" w:themeColor="text1"/>
              <w14:textFill>
                <w14:solidFill>
                  <w14:schemeClr w14:val="tx1"/>
                </w14:solidFill>
              </w14:textFill>
            </w:rPr>
            <w:t>2 半导体与集成电路产业链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_Toc2058739967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EB7D77C">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"_Toc1389791404" </w:instrText>
          </w:r>
          <w:r>
            <w:fldChar w:fldCharType="separate"/>
          </w:r>
          <w:r>
            <w:rPr>
              <w:color w:val="000000" w:themeColor="text1"/>
              <w14:textFill>
                <w14:solidFill>
                  <w14:schemeClr w14:val="tx1"/>
                </w14:solidFill>
              </w14:textFill>
            </w:rPr>
            <w:t>3 下一代风光电产业链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_Toc1389791404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A8D5ABE">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"_Toc1567534915" </w:instrText>
          </w:r>
          <w:r>
            <w:fldChar w:fldCharType="separate"/>
          </w:r>
          <w:r>
            <w:rPr>
              <w:color w:val="000000" w:themeColor="text1"/>
              <w14:textFill>
                <w14:solidFill>
                  <w14:schemeClr w14:val="tx1"/>
                </w14:solidFill>
              </w14:textFill>
            </w:rPr>
            <w:t>4 新型储能产业链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_Toc1567534915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68FC8B8">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"_Toc216839759" </w:instrText>
          </w:r>
          <w:r>
            <w:fldChar w:fldCharType="separate"/>
          </w:r>
          <w:r>
            <w:rPr>
              <w:color w:val="000000" w:themeColor="text1"/>
              <w14:textFill>
                <w14:solidFill>
                  <w14:schemeClr w14:val="tx1"/>
                </w14:solidFill>
              </w14:textFill>
            </w:rPr>
            <w:t>5 航空航天产业链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_Toc216839759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6F7E7C7">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"_Toc608562956" </w:instrText>
          </w:r>
          <w:r>
            <w:fldChar w:fldCharType="separate"/>
          </w:r>
          <w:r>
            <w:rPr>
              <w:color w:val="000000" w:themeColor="text1"/>
              <w14:textFill>
                <w14:solidFill>
                  <w14:schemeClr w14:val="tx1"/>
                </w14:solidFill>
              </w14:textFill>
            </w:rPr>
            <w:t>6 低空装备产业链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_Toc608562956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2DD598E">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"_Toc1100836133" </w:instrText>
          </w:r>
          <w:r>
            <w:fldChar w:fldCharType="separate"/>
          </w:r>
          <w:r>
            <w:rPr>
              <w:color w:val="000000" w:themeColor="text1"/>
              <w14:textFill>
                <w14:solidFill>
                  <w14:schemeClr w14:val="tx1"/>
                </w14:solidFill>
              </w14:textFill>
            </w:rPr>
            <w:t>7 智能机器人产业链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_Toc1100836133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EE3ED46">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"_Toc65685778" </w:instrText>
          </w:r>
          <w:r>
            <w:fldChar w:fldCharType="separate"/>
          </w:r>
          <w:r>
            <w:rPr>
              <w:color w:val="000000" w:themeColor="text1"/>
              <w14:textFill>
                <w14:solidFill>
                  <w14:schemeClr w14:val="tx1"/>
                </w14:solidFill>
              </w14:textFill>
            </w:rPr>
            <w:t>8 安全应急装备产业链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_Toc65685778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F19548F">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"_Toc945674791" </w:instrText>
          </w:r>
          <w:r>
            <w:fldChar w:fldCharType="separate"/>
          </w:r>
          <w:r>
            <w:rPr>
              <w:color w:val="000000" w:themeColor="text1"/>
              <w14:textFill>
                <w14:solidFill>
                  <w14:schemeClr w14:val="tx1"/>
                </w14:solidFill>
              </w14:textFill>
            </w:rPr>
            <w:t>9 工业母机产业链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_Toc945674791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0987DE9">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"_Toc977769755" </w:instrText>
          </w:r>
          <w:r>
            <w:fldChar w:fldCharType="separate"/>
          </w:r>
          <w:r>
            <w:rPr>
              <w:color w:val="000000" w:themeColor="text1"/>
              <w14:textFill>
                <w14:solidFill>
                  <w14:schemeClr w14:val="tx1"/>
                </w14:solidFill>
              </w14:textFill>
            </w:rPr>
            <w:t>10 智能家电产业链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_Toc977769755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5A3E76B">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"_Toc992018767" </w:instrText>
          </w:r>
          <w:r>
            <w:fldChar w:fldCharType="separate"/>
          </w:r>
          <w:r>
            <w:rPr>
              <w:color w:val="000000" w:themeColor="text1"/>
              <w14:textFill>
                <w14:solidFill>
                  <w14:schemeClr w14:val="tx1"/>
                </w14:solidFill>
              </w14:textFill>
            </w:rPr>
            <w:t>11 时尚纺织服装产业链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_Toc992018767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5FCF388">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"_Toc2083888712" </w:instrText>
          </w:r>
          <w:r>
            <w:fldChar w:fldCharType="separate"/>
          </w:r>
          <w:r>
            <w:rPr>
              <w:color w:val="000000" w:themeColor="text1"/>
              <w14:textFill>
                <w14:solidFill>
                  <w14:schemeClr w14:val="tx1"/>
                </w14:solidFill>
              </w14:textFill>
            </w:rPr>
            <w:t>12 时尚文创产业链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_Toc2083888712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E23C29C">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"_Toc141920507" </w:instrText>
          </w:r>
          <w:r>
            <w:fldChar w:fldCharType="separate"/>
          </w:r>
          <w:r>
            <w:rPr>
              <w:color w:val="000000" w:themeColor="text1"/>
              <w14:textFill>
                <w14:solidFill>
                  <w14:schemeClr w14:val="tx1"/>
                </w14:solidFill>
              </w14:textFill>
            </w:rPr>
            <w:t>13 高技术船舶与海工装备产业链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_Toc141920507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70B0D29">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"_Toc2044655318" </w:instrText>
          </w:r>
          <w:r>
            <w:fldChar w:fldCharType="separate"/>
          </w:r>
          <w:r>
            <w:rPr>
              <w:color w:val="000000" w:themeColor="text1"/>
              <w14:textFill>
                <w14:solidFill>
                  <w14:schemeClr w14:val="tx1"/>
                </w14:solidFill>
              </w14:textFill>
            </w:rPr>
            <w:t>14 化工新材料产业链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_Toc2044655318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605B134">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"_Toc955412468" </w:instrText>
          </w:r>
          <w:r>
            <w:fldChar w:fldCharType="separate"/>
          </w:r>
          <w:r>
            <w:rPr>
              <w:color w:val="000000" w:themeColor="text1"/>
              <w14:textFill>
                <w14:solidFill>
                  <w14:schemeClr w14:val="tx1"/>
                </w14:solidFill>
              </w14:textFill>
            </w:rPr>
            <w:t>15 磁性材料产业</w:t>
          </w:r>
          <w:r>
            <w:rPr>
              <w:rFonts w:hint="eastAsia"/>
              <w:color w:val="000000" w:themeColor="text1"/>
              <w14:textFill>
                <w14:solidFill>
                  <w14:schemeClr w14:val="tx1"/>
                </w14:solidFill>
              </w14:textFill>
            </w:rPr>
            <w:t>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_Toc955412468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DC29C5D">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"_Toc707086993" </w:instrText>
          </w:r>
          <w:r>
            <w:fldChar w:fldCharType="separate"/>
          </w:r>
          <w:r>
            <w:rPr>
              <w:color w:val="000000" w:themeColor="text1"/>
              <w14:textFill>
                <w14:solidFill>
                  <w14:schemeClr w14:val="tx1"/>
                </w14:solidFill>
              </w14:textFill>
            </w:rPr>
            <w:t>16 高端金属材料</w:t>
          </w:r>
          <w:r>
            <w:rPr>
              <w:rFonts w:hint="eastAsia"/>
              <w:color w:val="000000" w:themeColor="text1"/>
              <w14:textFill>
                <w14:solidFill>
                  <w14:schemeClr w14:val="tx1"/>
                </w14:solidFill>
              </w14:textFill>
            </w:rPr>
            <w:t>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_Toc707086993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9884BC8">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"_Toc621375914" </w:instrText>
          </w:r>
          <w:r>
            <w:fldChar w:fldCharType="separate"/>
          </w:r>
          <w:r>
            <w:rPr>
              <w:color w:val="000000" w:themeColor="text1"/>
              <w14:textFill>
                <w14:solidFill>
                  <w14:schemeClr w14:val="tx1"/>
                </w14:solidFill>
              </w14:textFill>
            </w:rPr>
            <w:t>17 关键基础件</w:t>
          </w:r>
          <w:r>
            <w:rPr>
              <w:rFonts w:hint="eastAsia"/>
              <w:color w:val="000000" w:themeColor="text1"/>
              <w14:textFill>
                <w14:solidFill>
                  <w14:schemeClr w14:val="tx1"/>
                </w14:solidFill>
              </w14:textFill>
            </w:rPr>
            <w:t>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_Toc621375914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3B5475C">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"_Toc1164907645" </w:instrText>
          </w:r>
          <w:r>
            <w:fldChar w:fldCharType="separate"/>
          </w:r>
          <w:r>
            <w:rPr>
              <w:color w:val="000000" w:themeColor="text1"/>
              <w14:textFill>
                <w14:solidFill>
                  <w14:schemeClr w14:val="tx1"/>
                </w14:solidFill>
              </w14:textFill>
            </w:rPr>
            <w:t>18 智能传感与仪器仪表</w:t>
          </w:r>
          <w:r>
            <w:rPr>
              <w:rFonts w:hint="eastAsia"/>
              <w:color w:val="000000" w:themeColor="text1"/>
              <w14:textFill>
                <w14:solidFill>
                  <w14:schemeClr w14:val="tx1"/>
                </w14:solidFill>
              </w14:textFill>
            </w:rPr>
            <w:t>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_Toc1164907645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5251EBE">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"_Toc447259399" </w:instrText>
          </w:r>
          <w:r>
            <w:fldChar w:fldCharType="separate"/>
          </w:r>
          <w:r>
            <w:rPr>
              <w:color w:val="000000" w:themeColor="text1"/>
              <w14:textFill>
                <w14:solidFill>
                  <w14:schemeClr w14:val="tx1"/>
                </w14:solidFill>
              </w14:textFill>
            </w:rPr>
            <w:t xml:space="preserve">19 </w:t>
          </w:r>
          <w:r>
            <w:rPr>
              <w:rFonts w:hint="eastAsia"/>
              <w:color w:val="000000" w:themeColor="text1"/>
              <w14:textFill>
                <w14:solidFill>
                  <w14:schemeClr w14:val="tx1"/>
                </w14:solidFill>
              </w14:textFill>
            </w:rPr>
            <w:t>新型光电显示产业链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_Toc447259399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A307CB6">
          <w:pPr>
            <w:pStyle w:val="13"/>
            <w:tabs>
              <w:tab w:val="right" w:leader="dot" w:pos="8845"/>
            </w:tabs>
            <w:ind w:firstLine="640"/>
            <w:rPr>
              <w:color w:val="000000" w:themeColor="text1"/>
              <w14:textFill>
                <w14:solidFill>
                  <w14:schemeClr w14:val="tx1"/>
                </w14:solidFill>
              </w14:textFill>
            </w:rPr>
          </w:pPr>
          <w:r>
            <w:fldChar w:fldCharType="begin"/>
          </w:r>
          <w:r>
            <w:instrText xml:space="preserve"> HYPERLINK \l "_Toc770464788" </w:instrText>
          </w:r>
          <w:r>
            <w:fldChar w:fldCharType="separate"/>
          </w:r>
          <w:r>
            <w:rPr>
              <w:color w:val="000000" w:themeColor="text1"/>
              <w14:textFill>
                <w14:solidFill>
                  <w14:schemeClr w14:val="tx1"/>
                </w14:solidFill>
              </w14:textFill>
            </w:rPr>
            <w:t>20 未来产业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_Toc770464788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BE237D3">
          <w:pPr>
            <w:pStyle w:val="26"/>
            <w:jc w:val="both"/>
            <w:outlineLvl w:val="9"/>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fldChar w:fldCharType="end"/>
          </w:r>
        </w:p>
      </w:sdtContent>
    </w:sdt>
    <w:p w14:paraId="4898B696">
      <w:pPr>
        <w:ind w:firstLine="0" w:firstLineChars="0"/>
        <w:rPr>
          <w:rFonts w:cs="Times New Roman"/>
          <w:color w:val="000000" w:themeColor="text1"/>
          <w14:textFill>
            <w14:solidFill>
              <w14:schemeClr w14:val="tx1"/>
            </w14:solidFill>
          </w14:textFill>
        </w:rPr>
        <w:sectPr>
          <w:footerReference r:id="rId11" w:type="default"/>
          <w:pgSz w:w="11906" w:h="16838"/>
          <w:pgMar w:top="2098" w:right="1474" w:bottom="1814" w:left="1587" w:header="851" w:footer="992" w:gutter="0"/>
          <w:pgNumType w:fmt="upperRoman" w:start="1"/>
          <w:cols w:space="0" w:num="1"/>
          <w:docGrid w:type="lines" w:linePitch="312" w:charSpace="0"/>
        </w:sectPr>
      </w:pPr>
    </w:p>
    <w:p w14:paraId="0DAAB041">
      <w:pPr>
        <w:pStyle w:val="25"/>
        <w:numPr>
          <w:ilvl w:val="0"/>
          <w:numId w:val="0"/>
        </w:numPr>
        <w:spacing w:line="560" w:lineRule="exact"/>
        <w:jc w:val="center"/>
        <w:rPr>
          <w:rFonts w:hint="default" w:ascii="Times New Roman" w:hAnsi="Times New Roman"/>
          <w:b w:val="0"/>
          <w:color w:val="000000" w:themeColor="text1"/>
          <w:sz w:val="44"/>
          <w:szCs w:val="44"/>
          <w14:textFill>
            <w14:solidFill>
              <w14:schemeClr w14:val="tx1"/>
            </w14:solidFill>
          </w14:textFill>
        </w:rPr>
      </w:pPr>
      <w:bookmarkStart w:id="30" w:name="_Toc1607361267"/>
      <w:bookmarkStart w:id="31" w:name="_Toc1776179799"/>
      <w:bookmarkStart w:id="32" w:name="_Toc1528879489"/>
      <w:r>
        <w:rPr>
          <w:rFonts w:hint="default" w:ascii="Times New Roman" w:hAnsi="Times New Roman"/>
          <w:b w:val="0"/>
          <w:color w:val="000000" w:themeColor="text1"/>
          <w:sz w:val="44"/>
          <w:szCs w:val="44"/>
          <w14:textFill>
            <w14:solidFill>
              <w14:schemeClr w14:val="tx1"/>
            </w14:solidFill>
          </w14:textFill>
        </w:rPr>
        <w:t>前  言</w:t>
      </w:r>
      <w:bookmarkEnd w:id="30"/>
      <w:bookmarkEnd w:id="31"/>
      <w:bookmarkEnd w:id="32"/>
    </w:p>
    <w:p w14:paraId="3743C823">
      <w:pPr>
        <w:pStyle w:val="25"/>
        <w:numPr>
          <w:ilvl w:val="0"/>
          <w:numId w:val="0"/>
        </w:numPr>
        <w:spacing w:line="560" w:lineRule="exact"/>
        <w:jc w:val="center"/>
        <w:rPr>
          <w:rFonts w:hint="default" w:ascii="Times New Roman" w:hAnsi="Times New Roman"/>
          <w:b w:val="0"/>
          <w:color w:val="000000" w:themeColor="text1"/>
          <w14:textFill>
            <w14:solidFill>
              <w14:schemeClr w14:val="tx1"/>
            </w14:solidFill>
          </w14:textFill>
        </w:rPr>
      </w:pPr>
    </w:p>
    <w:p w14:paraId="2C157DA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全球产业链加速重构背景下，宁波市作为全国先进制造业基地，亟需通过前瞻性产业布局提升产业链现代化水平。在此背景下，编制《宁波市产业链标杆项目重点领域指南（202</w:t>
      </w:r>
      <w:r>
        <w:rPr>
          <w:rFonts w:hint="eastAsia" w:cs="Times New Roman"/>
          <w:color w:val="000000" w:themeColor="text1"/>
          <w14:textFill>
            <w14:solidFill>
              <w14:schemeClr w14:val="tx1"/>
            </w14:solidFill>
          </w14:textFill>
        </w:rPr>
        <w:t>6</w:t>
      </w:r>
      <w:r>
        <w:rPr>
          <w:rFonts w:cs="Times New Roman"/>
          <w:color w:val="000000" w:themeColor="text1"/>
          <w14:textFill>
            <w14:solidFill>
              <w14:schemeClr w14:val="tx1"/>
            </w14:solidFill>
          </w14:textFill>
        </w:rPr>
        <w:t>版）》（以下简称《指南》），既是落实国家战略部署的重要举措，也是服务地方经济转型升级、增强产业核心竞争力的关键行动。</w:t>
      </w:r>
    </w:p>
    <w:p w14:paraId="54837197">
      <w:pPr>
        <w:ind w:firstLine="640"/>
        <w:rPr>
          <w:rFonts w:cs="Times New Roman"/>
          <w:color w:val="000000" w:themeColor="text1"/>
          <w:kern w:val="0"/>
          <w:szCs w:val="32"/>
          <w14:textFill>
            <w14:solidFill>
              <w14:schemeClr w14:val="tx1"/>
            </w14:solidFill>
          </w14:textFill>
        </w:rPr>
      </w:pPr>
      <w:r>
        <w:rPr>
          <w:rFonts w:cs="Times New Roman"/>
          <w:color w:val="000000" w:themeColor="text1"/>
          <w14:textFill>
            <w14:solidFill>
              <w14:schemeClr w14:val="tx1"/>
            </w14:solidFill>
          </w14:textFill>
        </w:rPr>
        <w:t>《指南》编制遵循“立足实际科学统筹、聚焦前沿精准发力、问题导向动态优化”三大原则，</w:t>
      </w:r>
      <w:r>
        <w:rPr>
          <w:rFonts w:cs="Times New Roman"/>
          <w:color w:val="000000" w:themeColor="text1"/>
          <w:kern w:val="0"/>
          <w:szCs w:val="32"/>
          <w14:textFill>
            <w14:solidFill>
              <w14:schemeClr w14:val="tx1"/>
            </w14:solidFill>
          </w14:textFill>
        </w:rPr>
        <w:t>聚焦国家、省、市重点培育的产业链领域和我市</w:t>
      </w:r>
      <w:r>
        <w:rPr>
          <w:rFonts w:hint="eastAsia" w:cs="仿宋_GB2312"/>
          <w:color w:val="000000" w:themeColor="text1"/>
          <w:spacing w:val="8"/>
          <w:szCs w:val="32"/>
          <w14:textFill>
            <w14:solidFill>
              <w14:schemeClr w14:val="tx1"/>
            </w14:solidFill>
          </w14:textFill>
        </w:rPr>
        <w:t>“十五五”时期现代化产业体系</w:t>
      </w:r>
      <w:r>
        <w:rPr>
          <w:rFonts w:cs="Times New Roman"/>
          <w:bCs/>
          <w:color w:val="000000" w:themeColor="text1"/>
          <w:kern w:val="0"/>
          <w:szCs w:val="32"/>
          <w14:textFill>
            <w14:solidFill>
              <w14:schemeClr w14:val="tx1"/>
            </w14:solidFill>
          </w14:textFill>
        </w:rPr>
        <w:t>，以标志性产品为导向，</w:t>
      </w:r>
      <w:r>
        <w:rPr>
          <w:rFonts w:cs="Times New Roman"/>
          <w:color w:val="000000" w:themeColor="text1"/>
          <w:kern w:val="0"/>
          <w:szCs w:val="32"/>
          <w14:textFill>
            <w14:solidFill>
              <w14:schemeClr w14:val="tx1"/>
            </w14:solidFill>
          </w14:textFill>
        </w:rPr>
        <w:t>分类遴选一批能够提升产业发展能级，引领产业高质量发展，培育产业发展新动能的产业链标杆项目，为全市新型工业化发展提供支撑。</w:t>
      </w:r>
    </w:p>
    <w:p w14:paraId="261CE6CE">
      <w:pPr>
        <w:spacing w:line="540" w:lineRule="exact"/>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涵盖</w:t>
      </w:r>
      <w:r>
        <w:rPr>
          <w:rFonts w:hint="eastAsia" w:cs="Times New Roman"/>
          <w:color w:val="000000" w:themeColor="text1"/>
          <w:kern w:val="0"/>
          <w:szCs w:val="32"/>
          <w14:textFill>
            <w14:solidFill>
              <w14:schemeClr w14:val="tx1"/>
            </w14:solidFill>
          </w14:textFill>
        </w:rPr>
        <w:t>人工智能与高端软件、半导体与集成电路、下一代风光电、新型储能、航空航天、低空装备、安全应急装备、工业母机、智能家电</w:t>
      </w:r>
      <w:r>
        <w:rPr>
          <w:rFonts w:cs="Times New Roman"/>
          <w:color w:val="000000" w:themeColor="text1"/>
          <w:kern w:val="0"/>
          <w:szCs w:val="32"/>
          <w14:textFill>
            <w14:solidFill>
              <w14:schemeClr w14:val="tx1"/>
            </w14:solidFill>
          </w14:textFill>
        </w:rPr>
        <w:t>等</w:t>
      </w:r>
      <w:r>
        <w:rPr>
          <w:rFonts w:hint="eastAsia" w:cs="Times New Roman"/>
          <w:color w:val="000000" w:themeColor="text1"/>
          <w:kern w:val="0"/>
          <w:szCs w:val="32"/>
          <w14:textFill>
            <w14:solidFill>
              <w14:schemeClr w14:val="tx1"/>
            </w14:solidFill>
          </w14:textFill>
        </w:rPr>
        <w:t>20</w:t>
      </w:r>
      <w:r>
        <w:rPr>
          <w:rFonts w:cs="Times New Roman"/>
          <w:color w:val="000000" w:themeColor="text1"/>
          <w:kern w:val="0"/>
          <w:szCs w:val="32"/>
          <w14:textFill>
            <w14:solidFill>
              <w14:schemeClr w14:val="tx1"/>
            </w14:solidFill>
          </w14:textFill>
        </w:rPr>
        <w:t>条宁波市</w:t>
      </w:r>
      <w:r>
        <w:rPr>
          <w:rFonts w:hint="eastAsia" w:cs="仿宋_GB2312"/>
          <w:color w:val="000000" w:themeColor="text1"/>
          <w:spacing w:val="8"/>
          <w:szCs w:val="32"/>
          <w14:textFill>
            <w14:solidFill>
              <w14:schemeClr w14:val="tx1"/>
            </w14:solidFill>
          </w14:textFill>
        </w:rPr>
        <w:t>“十五五”时期现代化产业体系</w:t>
      </w:r>
      <w:r>
        <w:rPr>
          <w:rFonts w:cs="Times New Roman"/>
          <w:color w:val="000000" w:themeColor="text1"/>
          <w:kern w:val="0"/>
          <w:szCs w:val="32"/>
          <w14:textFill>
            <w14:solidFill>
              <w14:schemeClr w14:val="tx1"/>
            </w14:solidFill>
          </w14:textFill>
        </w:rPr>
        <w:t>标志性产业链项目；产品属于首台（套）装备、首批次新材料或具备</w:t>
      </w:r>
      <w:r>
        <w:rPr>
          <w:rFonts w:cs="Times New Roman"/>
          <w:color w:val="000000" w:themeColor="text1"/>
          <w14:textFill>
            <w14:solidFill>
              <w14:schemeClr w14:val="tx1"/>
            </w14:solidFill>
          </w14:textFill>
        </w:rPr>
        <w:t>战略价值特征的其他新兴领域的优质项目亦可纳入考量。</w:t>
      </w:r>
    </w:p>
    <w:p w14:paraId="05D9C12C">
      <w:pPr>
        <w:spacing w:line="540" w:lineRule="exact"/>
        <w:ind w:firstLine="640"/>
        <w:rPr>
          <w:rFonts w:cs="Times New Roman"/>
          <w:color w:val="000000" w:themeColor="text1"/>
          <w14:textFill>
            <w14:solidFill>
              <w14:schemeClr w14:val="tx1"/>
            </w14:solidFill>
          </w14:textFill>
        </w:rPr>
        <w:sectPr>
          <w:footerReference r:id="rId12" w:type="default"/>
          <w:pgSz w:w="11906" w:h="16838"/>
          <w:pgMar w:top="2098" w:right="1474" w:bottom="1814" w:left="1587" w:header="851" w:footer="992" w:gutter="0"/>
          <w:pgNumType w:start="1"/>
          <w:cols w:space="0" w:num="1"/>
          <w:docGrid w:type="lines" w:linePitch="312" w:charSpace="0"/>
        </w:sectPr>
      </w:pPr>
    </w:p>
    <w:p w14:paraId="136FEFB7">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33" w:name="_Toc1728367807"/>
      <w:bookmarkStart w:id="34" w:name="_Toc72436277"/>
      <w:r>
        <w:rPr>
          <w:rFonts w:hint="default" w:ascii="Times New Roman" w:hAnsi="Times New Roman"/>
          <w:color w:val="000000" w:themeColor="text1"/>
          <w14:textFill>
            <w14:solidFill>
              <w14:schemeClr w14:val="tx1"/>
            </w14:solidFill>
          </w14:textFill>
        </w:rPr>
        <w:t>人工智能与高端软件产业链</w:t>
      </w:r>
      <w:bookmarkEnd w:id="33"/>
      <w:bookmarkEnd w:id="34"/>
    </w:p>
    <w:p w14:paraId="1B2FDE40">
      <w:pPr>
        <w:ind w:firstLine="640"/>
        <w:rPr>
          <w:rFonts w:cs="Times New Roman"/>
          <w:color w:val="000000" w:themeColor="text1"/>
          <w:szCs w:val="40"/>
          <w14:textFill>
            <w14:solidFill>
              <w14:schemeClr w14:val="tx1"/>
            </w14:solidFill>
          </w14:textFill>
        </w:rPr>
      </w:pPr>
      <w:r>
        <w:rPr>
          <w:rFonts w:cs="Times New Roman"/>
          <w:color w:val="000000" w:themeColor="text1"/>
          <w:szCs w:val="32"/>
          <w14:textFill>
            <w14:solidFill>
              <w14:schemeClr w14:val="tx1"/>
            </w14:solidFill>
          </w14:textFill>
        </w:rPr>
        <w:t>人工智能产业链上游包括基础软硬件，如算力基础设施、数据处理、算法模型、高性能芯片、核心开发框架工具等；中游为技术研发和服务平台，如机器学习、深度学习、计算机视觉等通用技术和技术开放平台等开发工具；下游为行业应用和终端产品，涉及绝大多数产业，包括制造业、金融业、医疗业、交通、安防等。</w:t>
      </w:r>
      <w:r>
        <w:rPr>
          <w:rFonts w:cs="Times New Roman"/>
          <w:color w:val="000000" w:themeColor="text1"/>
          <w:szCs w:val="40"/>
          <w14:textFill>
            <w14:solidFill>
              <w14:schemeClr w14:val="tx1"/>
            </w14:solidFill>
          </w14:textFill>
        </w:rPr>
        <w:t>工业软件</w:t>
      </w:r>
      <w:r>
        <w:rPr>
          <w:rFonts w:hint="eastAsia" w:cs="Times New Roman"/>
          <w:color w:val="000000" w:themeColor="text1"/>
          <w:szCs w:val="40"/>
          <w14:textFill>
            <w14:solidFill>
              <w14:schemeClr w14:val="tx1"/>
            </w14:solidFill>
          </w14:textFill>
        </w:rPr>
        <w:t>是高端软件核心组成部分，也是宁波软件产业特色，其</w:t>
      </w:r>
      <w:r>
        <w:rPr>
          <w:rFonts w:cs="Times New Roman"/>
          <w:color w:val="000000" w:themeColor="text1"/>
          <w:szCs w:val="40"/>
          <w14:textFill>
            <w14:solidFill>
              <w14:schemeClr w14:val="tx1"/>
            </w14:solidFill>
          </w14:textFill>
        </w:rPr>
        <w:t>上游是为工业软件产品制造提供基础服务的软硬件，如计算机设备、操作系统、开发工具和中间件等；中游为工业软件产品，包括研发设计类软件、生产控制类软件、经营管理类软件、嵌入式软件、信息安全类软件等；下游为应用领域，包括智能可穿戴设备、通信设备、智能家电等行业。</w:t>
      </w:r>
    </w:p>
    <w:p w14:paraId="589116E8">
      <w:pPr>
        <w:ind w:firstLine="640"/>
        <w:rPr>
          <w:rFonts w:cs="Times New Roman"/>
          <w:color w:val="000000" w:themeColor="text1"/>
          <w:szCs w:val="40"/>
          <w14:textFill>
            <w14:solidFill>
              <w14:schemeClr w14:val="tx1"/>
            </w14:solidFill>
          </w14:textFill>
        </w:rPr>
      </w:pPr>
      <w:r>
        <w:rPr>
          <w:rFonts w:hint="eastAsia" w:cs="Times New Roman"/>
          <w:color w:val="000000" w:themeColor="text1"/>
          <w:szCs w:val="40"/>
          <w14:textFill>
            <w14:solidFill>
              <w14:schemeClr w14:val="tx1"/>
            </w14:solidFill>
          </w14:textFill>
        </w:rPr>
        <w:t>本次“指南”涵盖人工智能芯片、模型、数据全环节，以及工业软件产业链中游和下游，主要面向人工智能核心技术产品和智能终端产品，分为垂类大模型开发、高质量可信数据集开发、边缘计算人工智能芯片开发、汽车电子嵌入式智能终端开发、穿戴设备嵌入式终端开发、智能微出行终端开发等。具体如下：</w:t>
      </w:r>
    </w:p>
    <w:p w14:paraId="481AE2D0">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指南1：垂类大模型开发</w:t>
      </w:r>
    </w:p>
    <w:p w14:paraId="6F05ACC1">
      <w:pPr>
        <w:pStyle w:val="23"/>
        <w:numPr>
          <w:ilvl w:val="0"/>
          <w:numId w:val="0"/>
        </w:numPr>
        <w:ind w:firstLine="640" w:firstLineChars="20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聚焦人工智能大模型在生物医药、智能制造等行业深耕与场景化落地，重点突破多模态数据融合、专业场景智能推理、专属方案优化生成等核心技术，构建集多领域专业数据、特色学科数据及相关配套数据于一体的数据库与知识图谱，适配国产算力环境，实现模型训练、推理全流程自主可控，打造国产化程度高、场景适配性强、可规模化推广的垂类大模型产品、训推一体化解决方案或云边端一体化训推基础设施，助力产业链自主创新与高质量发展</w:t>
      </w:r>
      <w:r>
        <w:rPr>
          <w:rFonts w:hint="eastAsia"/>
          <w:color w:val="000000" w:themeColor="text1"/>
          <w14:textFill>
            <w14:solidFill>
              <w14:schemeClr w14:val="tx1"/>
            </w14:solidFill>
          </w14:textFill>
        </w:rPr>
        <w:t>。</w:t>
      </w:r>
    </w:p>
    <w:p w14:paraId="272ECABE">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指南2：高质量可信数据集开发</w:t>
      </w:r>
    </w:p>
    <w:p w14:paraId="5E3ADE2B">
      <w:pPr>
        <w:pStyle w:val="23"/>
        <w:numPr>
          <w:ilvl w:val="0"/>
          <w:numId w:val="0"/>
        </w:num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聚焦智能驾驶、具身智能等领域多场景训练数据需求，推动面向复杂动态环境、多任务过程和多模态交互的可信AI数据集产业化应用，重点突破无本体异构迁移的数据表示、行为映射、任务对齐与跨平台适配方法，基于物理机理与人工智能融合的世界模型生成算法，以及基于数据采集、多源数据融合场景建模与视角泛化的AI模型算法，实现轻量化端到端稳定训练，应用场景参数化建模、多模态传感器仿真及动态环境与视角泛化技术，提升合成数据在多模态性、场景覆盖、视觉逼真度、物理交互真实度及边缘工况泛化等维度的综合性能，并构建合成数据视觉逼真度、物理交互真实性与场景泛化度的评价指标与评价模型算法，支撑合成数据向真实场景的高效迁移与算法闭环验证,打造面向多领域智能体的高质量真实场景训练数据底座和可信 AI数据集产品，形成覆盖数据采集、标注生产、合成生成验证闭环，覆盖数据采集、标注生产、合成生成验证闭环，可直接用于感知、规划、控制等核心算法开发与验证的一体化数据解决方案。</w:t>
      </w:r>
    </w:p>
    <w:p w14:paraId="0302CB59">
      <w:pPr>
        <w:pStyle w:val="23"/>
        <w:numPr>
          <w:ilvl w:val="0"/>
          <w:numId w:val="0"/>
        </w:numPr>
        <w:ind w:firstLine="643" w:firstLineChars="200"/>
        <w:rPr>
          <w:b/>
          <w:bCs w:val="0"/>
          <w:color w:val="000000" w:themeColor="text1"/>
          <w14:textFill>
            <w14:solidFill>
              <w14:schemeClr w14:val="tx1"/>
            </w14:solidFill>
          </w14:textFill>
        </w:rPr>
      </w:pPr>
    </w:p>
    <w:p w14:paraId="28EA3252">
      <w:pPr>
        <w:pStyle w:val="23"/>
        <w:numPr>
          <w:ilvl w:val="0"/>
          <w:numId w:val="0"/>
        </w:numPr>
        <w:ind w:firstLine="643" w:firstLineChars="200"/>
        <w:rPr>
          <w:b/>
          <w:bCs w:val="0"/>
          <w:color w:val="000000" w:themeColor="text1"/>
          <w14:textFill>
            <w14:solidFill>
              <w14:schemeClr w14:val="tx1"/>
            </w14:solidFill>
          </w14:textFill>
        </w:rPr>
      </w:pPr>
    </w:p>
    <w:p w14:paraId="7EC4BAE0">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3</w:t>
      </w:r>
      <w:r>
        <w:rPr>
          <w:b/>
          <w:bCs w:val="0"/>
          <w:color w:val="000000" w:themeColor="text1"/>
          <w14:textFill>
            <w14:solidFill>
              <w14:schemeClr w14:val="tx1"/>
            </w14:solidFill>
          </w14:textFill>
        </w:rPr>
        <w:t>：</w:t>
      </w:r>
      <w:r>
        <w:rPr>
          <w:rFonts w:hint="eastAsia"/>
          <w:b/>
          <w:bCs w:val="0"/>
          <w:color w:val="000000" w:themeColor="text1"/>
          <w14:textFill>
            <w14:solidFill>
              <w14:schemeClr w14:val="tx1"/>
            </w14:solidFill>
          </w14:textFill>
        </w:rPr>
        <w:t>边缘计算人工智能芯片开发</w:t>
      </w:r>
    </w:p>
    <w:p w14:paraId="735EBE7E">
      <w:pPr>
        <w:pStyle w:val="23"/>
        <w:numPr>
          <w:ilvl w:val="0"/>
          <w:numId w:val="0"/>
        </w:numPr>
        <w:ind w:firstLine="640" w:firstLineChars="200"/>
        <w:rPr>
          <w:b/>
          <w:bCs w:val="0"/>
          <w:color w:val="000000" w:themeColor="text1"/>
          <w14:textFill>
            <w14:solidFill>
              <w14:schemeClr w14:val="tx1"/>
            </w14:solidFill>
          </w14:textFill>
        </w:rPr>
      </w:pPr>
      <w:r>
        <w:rPr>
          <w:rFonts w:hint="eastAsia"/>
          <w:color w:val="000000" w:themeColor="text1"/>
          <w:szCs w:val="32"/>
          <w14:textFill>
            <w14:solidFill>
              <w14:schemeClr w14:val="tx1"/>
            </w14:solidFill>
          </w14:textFill>
        </w:rPr>
        <w:t xml:space="preserve">聚焦人工智能大模型从云端向物理世界边缘端规模化部署的战略趋势，解决人工智能边缘计算场景对大算力、高带宽及多模态大模型与视觉-语言-动作（VLA）模型协同推理的迫切需求，重点突破高带宽内存架构、多芯算力弹性聚合、混合精度推理加速、算子指令集和异构多核数据流计算等核心技术，研发高带宽高能效的异构边缘计算人工智能芯片及全栈软硬件一体化解决方案。支持基于6nm及以下先进制程的SoC设计，重点攻克自研混合精度神经网络处理器（NPU）架构设计，高带宽内存子系统与多芯高速互联协同优化，端侧大模型轻量化部署与推理加速。在智慧城市、智慧办工、智能家居等领域进行场景适配与规模化应用，打造高能效比、低延迟、可弹性扩展的边缘AI算力底座，提升国家在边缘智能领域的自主创新与产业链安全水平。    </w:t>
      </w: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4：</w:t>
      </w:r>
      <w:r>
        <w:rPr>
          <w:b/>
          <w:bCs w:val="0"/>
          <w:color w:val="000000" w:themeColor="text1"/>
          <w14:textFill>
            <w14:solidFill>
              <w14:schemeClr w14:val="tx1"/>
            </w14:solidFill>
          </w14:textFill>
        </w:rPr>
        <w:t>汽车电子嵌入式</w:t>
      </w:r>
      <w:r>
        <w:rPr>
          <w:rFonts w:hint="eastAsia"/>
          <w:b/>
          <w:bCs w:val="0"/>
          <w:color w:val="000000" w:themeColor="text1"/>
          <w14:textFill>
            <w14:solidFill>
              <w14:schemeClr w14:val="tx1"/>
            </w14:solidFill>
          </w14:textFill>
        </w:rPr>
        <w:t>智能</w:t>
      </w:r>
      <w:r>
        <w:rPr>
          <w:b/>
          <w:bCs w:val="0"/>
          <w:color w:val="000000" w:themeColor="text1"/>
          <w14:textFill>
            <w14:solidFill>
              <w14:schemeClr w14:val="tx1"/>
            </w14:solidFill>
          </w14:textFill>
        </w:rPr>
        <w:t>终端</w:t>
      </w:r>
      <w:r>
        <w:rPr>
          <w:rFonts w:hint="eastAsia"/>
          <w:b/>
          <w:bCs w:val="0"/>
          <w:color w:val="000000" w:themeColor="text1"/>
          <w14:textFill>
            <w14:solidFill>
              <w14:schemeClr w14:val="tx1"/>
            </w14:solidFill>
          </w14:textFill>
        </w:rPr>
        <w:t>开发</w:t>
      </w:r>
    </w:p>
    <w:p w14:paraId="49F9D7E0">
      <w:pPr>
        <w:ind w:firstLine="640"/>
        <w:rPr>
          <w:rFonts w:cs="Times New Roman"/>
          <w:color w:val="000000" w:themeColor="text1"/>
          <w:kern w:val="0"/>
          <w:szCs w:val="32"/>
          <w14:textFill>
            <w14:solidFill>
              <w14:schemeClr w14:val="tx1"/>
            </w14:solidFill>
          </w14:textFill>
        </w:rPr>
      </w:pPr>
      <w:r>
        <w:rPr>
          <w:rFonts w:hint="eastAsia" w:cs="Times New Roman"/>
          <w:color w:val="000000" w:themeColor="text1"/>
          <w14:textFill>
            <w14:solidFill>
              <w14:schemeClr w14:val="tx1"/>
            </w14:solidFill>
          </w14:textFill>
        </w:rPr>
        <w:t>聚焦智能汽车“AI大模型+智能座舱”深度融合技术体系，重点布局大模型驱动的智能座舱软件系统与主动智能服务全栈研发。重点突破基于高算力座舱芯片的端侧大模型离线部署与推理优化技术、多模态视觉语言模型（VLM）车端实时感知与决策技术、AI Agent超级智能体框架与复杂意图推理技术、大模型赋能的自然语言处理及语音交互技术、座舱多源感知融合的主动服务决策技术、新一代HMI视觉交互与智驾SR场景渲染技术等；系统推进端云协同的多模型调度与混合推理架构、端侧大模型轻量化压缩与高效部署、大规模语义泛化理解与功能意图映射、用户行为建模与隐性需求预测等技术攻关，构建AI大模型驱动的智能座舱操作系统、主动智能服务平台、多模态人机交互系统及OTA持续迭代升级体系等嵌入式终端产品。</w:t>
      </w:r>
    </w:p>
    <w:p w14:paraId="7F10FFF6">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5</w:t>
      </w:r>
      <w:r>
        <w:rPr>
          <w:b/>
          <w:bCs w:val="0"/>
          <w:color w:val="000000" w:themeColor="text1"/>
          <w14:textFill>
            <w14:solidFill>
              <w14:schemeClr w14:val="tx1"/>
            </w14:solidFill>
          </w14:textFill>
        </w:rPr>
        <w:t>：穿戴设备嵌入式终端开发</w:t>
      </w:r>
    </w:p>
    <w:p w14:paraId="59C54760">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扩展现实（XR）技术体系，深度布局虚拟现实（VR）、增强现实（AR）、混合现实（MR）核心技术全栈式研发，构建基于人工智能驱动的虚实融合交互引擎，重点攻克VR一体机、VR头盔等设备的嵌入式系统架构优化，突破小体积、轻量化及单眼2.5K级Micro-OLED微显示等关键技术瓶颈；开发高性能检测设备，应用仿人眼镜头和相机，真实准确评价产品目视体验效果，构建全面精确的评价体系。打造轻量化、沉浸式的智能穿戴终端产品。</w:t>
      </w:r>
    </w:p>
    <w:p w14:paraId="58FAD53D">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6</w:t>
      </w:r>
      <w:r>
        <w:rPr>
          <w:b/>
          <w:bCs w:val="0"/>
          <w:color w:val="000000" w:themeColor="text1"/>
          <w14:textFill>
            <w14:solidFill>
              <w14:schemeClr w14:val="tx1"/>
            </w14:solidFill>
          </w14:textFill>
        </w:rPr>
        <w:t>：</w:t>
      </w:r>
      <w:r>
        <w:rPr>
          <w:rFonts w:hint="eastAsia"/>
          <w:b/>
          <w:bCs w:val="0"/>
          <w:color w:val="000000" w:themeColor="text1"/>
          <w14:textFill>
            <w14:solidFill>
              <w14:schemeClr w14:val="tx1"/>
            </w14:solidFill>
          </w14:textFill>
        </w:rPr>
        <w:t>智能微出行终端开发</w:t>
      </w:r>
    </w:p>
    <w:p w14:paraId="7C52D7D1">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城市“最后一公里”两轮微出行与慢行交通场景，重点突破车规级神经网络处理器（NPU）、AI语音交互阵列、智控交互总成、骑行压力传感矩阵等硬件集成技术；强化基于多传感器数据融合的路面状态识别、骑行姿态与重心偏移实时监测、用户操控习惯深度学习与动力自适应匹配，以及AI电池全生命周期管理、主动安全预警、无感解锁与防盗追踪、端云协同OTA模型持续迭代等核心算法攻关。打造AI一体化硬件架构、全栈式AI算法体系，覆盖个人消费与共享运营全场景的智能滑板等智能微出行终端产品，融入智慧城市慢行交通体系</w:t>
      </w:r>
      <w:r>
        <w:rPr>
          <w:rFonts w:cs="Times New Roman"/>
          <w:color w:val="000000" w:themeColor="text1"/>
          <w14:textFill>
            <w14:solidFill>
              <w14:schemeClr w14:val="tx1"/>
            </w14:solidFill>
          </w14:textFill>
        </w:rPr>
        <w:t>。</w:t>
      </w:r>
    </w:p>
    <w:p w14:paraId="3E68A0AD">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35" w:name="_Toc170712214"/>
      <w:bookmarkStart w:id="36" w:name="_Toc2058739967"/>
      <w:r>
        <w:rPr>
          <w:rFonts w:hint="default" w:ascii="Times New Roman" w:hAnsi="Times New Roman"/>
          <w:color w:val="000000" w:themeColor="text1"/>
          <w14:textFill>
            <w14:solidFill>
              <w14:schemeClr w14:val="tx1"/>
            </w14:solidFill>
          </w14:textFill>
        </w:rPr>
        <w:t>半导体与集成电路产业链</w:t>
      </w:r>
      <w:bookmarkEnd w:id="35"/>
      <w:bookmarkEnd w:id="36"/>
    </w:p>
    <w:p w14:paraId="766A8CE1">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集成电路产业链涵盖设计、制造和封装测试等环节，上游包括半导体材料、生产设备、芯片设计工具，如EDA（电子设计自动化）、半导体IP（知识产权）核，中游涉及集成电路设计、制造和封装测试，下游广泛应用于通信、计算机、消费电子、工业控制等领域。</w:t>
      </w:r>
    </w:p>
    <w:p w14:paraId="5C8662E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本次“指南”主要聚焦于集成电路产业链上游原材料、设计工具、生产设备、封测设备，中游集成电路制造及封装测试。具体如下：</w:t>
      </w:r>
    </w:p>
    <w:p w14:paraId="2BFA62A0">
      <w:pPr>
        <w:widowControl/>
        <w:wordWrap w:val="0"/>
        <w:ind w:firstLine="643"/>
        <w:outlineLvl w:val="2"/>
        <w:rPr>
          <w:rFonts w:cs="Times New Roman"/>
          <w:b/>
          <w:bCs/>
          <w:color w:val="000000" w:themeColor="text1"/>
          <w14:textFill>
            <w14:solidFill>
              <w14:schemeClr w14:val="tx1"/>
            </w14:solidFill>
          </w14:textFill>
        </w:rPr>
      </w:pPr>
      <w:r>
        <w:rPr>
          <w:rFonts w:cs="Times New Roman"/>
          <w:b/>
          <w:bCs/>
          <w:color w:val="000000" w:themeColor="text1"/>
          <w:kern w:val="0"/>
          <w:szCs w:val="28"/>
          <w14:textFill>
            <w14:solidFill>
              <w14:schemeClr w14:val="tx1"/>
            </w14:solidFill>
          </w14:textFill>
        </w:rPr>
        <w:t>指南1：新一代半导体材料先进制造应用</w:t>
      </w:r>
    </w:p>
    <w:p w14:paraId="72C74076">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半导体材料纯度控制、异质结构均匀性及先进工艺适配性等核心性能突破，重点突破大尺寸单晶制备、硅片高阻厚外延结构优化与表面精密调控、宽禁带半导体缺陷控制、光刻与湿法工艺纳米级图形保真、掩膜版高精度设计与制程节点提升、化学机械抛光材料表面处理优化、溅射靶材微观结构调控、封装材料互连可靠性提升、引线框架精密加工优化、高频基板介电性能优化、键合材料耐久性增强及特种气体工艺精准控制等关键技术集群，围绕规模化制备良率提升与多物理场协同匹配等特性，实现晶圆缺陷密度降低、图形化工艺精度跃升及封装系统可靠性强化；通过材料-工艺协同创新体系，推动其在3D集成封装、高频通信基板、车规级功率模块、先进光电器件等高端领域规模化应用，支撑异质集成制造工艺迭代与高密度集成电路性能升级。</w:t>
      </w:r>
    </w:p>
    <w:p w14:paraId="2C95C5AE">
      <w:pPr>
        <w:widowControl/>
        <w:wordWrap w:val="0"/>
        <w:ind w:firstLine="643"/>
        <w:outlineLvl w:val="2"/>
        <w:rPr>
          <w:rFonts w:cs="Times New Roman"/>
          <w:color w:val="000000" w:themeColor="text1"/>
          <w14:textFill>
            <w14:solidFill>
              <w14:schemeClr w14:val="tx1"/>
            </w14:solidFill>
          </w14:textFill>
        </w:rPr>
      </w:pPr>
      <w:r>
        <w:rPr>
          <w:rFonts w:cs="Times New Roman"/>
          <w:b/>
          <w:bCs/>
          <w:color w:val="000000" w:themeColor="text1"/>
          <w:kern w:val="0"/>
          <w:szCs w:val="28"/>
          <w14:textFill>
            <w14:solidFill>
              <w14:schemeClr w14:val="tx1"/>
            </w14:solidFill>
          </w14:textFill>
        </w:rPr>
        <w:t>指南2：高性能集成电路设计、生产、封测设备国产化</w:t>
      </w:r>
    </w:p>
    <w:p w14:paraId="2E67B67C">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EDA（电子设计自动化）工具国产化进程，加快模拟电路设计、数字电路设计、封装设计等全流程工具链的研发与完善，逐步实现从点工具到全流程覆盖的突破。推动制造环节KrF（氟化氪）、ArF（氟化氩）、ArFi（氟化氩浸没式）、EUV（极紫外线）光刻机，PECVD（等离子体增强化学气相沉积）、ALD（原子层沉积）薄膜沉积设备，离子注入机，刻蚀设备，清洗设备，CMP（化学机械研磨/化学机械抛光）设备，硅片热处理设备，外延设备，涂胶显影设备；封装环节固晶机、焊线机、磨片机、装片机、键合机；测试环节分选机、数字测试机、高精度探针台等集成电路领域“卡脖子”设备以及EUV光源、光刻机投影物镜系统、半导体检测高数值孔径物镜、分子泵、射频电源、离子源、纳米过滤膜、运动控制器、直线电机、伺服驱动、视觉系统、多工位分选、纳米级定位等设备零部件制造技术提升，促进国内集成电路产业升级与技术创新，加速构建自主可控的产业生态。</w:t>
      </w:r>
    </w:p>
    <w:p w14:paraId="2A5BFAF2">
      <w:pPr>
        <w:widowControl/>
        <w:wordWrap w:val="0"/>
        <w:ind w:firstLine="643"/>
        <w:outlineLvl w:val="2"/>
        <w:rPr>
          <w:rFonts w:cs="Times New Roman"/>
          <w:color w:val="000000" w:themeColor="text1"/>
          <w14:textFill>
            <w14:solidFill>
              <w14:schemeClr w14:val="tx1"/>
            </w14:solidFill>
          </w14:textFill>
        </w:rPr>
      </w:pPr>
      <w:r>
        <w:rPr>
          <w:rFonts w:cs="Times New Roman"/>
          <w:b/>
          <w:bCs/>
          <w:color w:val="000000" w:themeColor="text1"/>
          <w:kern w:val="0"/>
          <w:szCs w:val="28"/>
          <w14:textFill>
            <w14:solidFill>
              <w14:schemeClr w14:val="tx1"/>
            </w14:solidFill>
          </w14:textFill>
        </w:rPr>
        <w:t>指南3：先进集成电路芯片、功率器件及模组的研发与产业化</w:t>
      </w:r>
    </w:p>
    <w:p w14:paraId="1154B7A1">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聚焦FPGA（现场可编程门阵列），ASIC（专用集成电路）、SoC（系统级芯片）等数字芯片；RAM（随机存取存储器）、ROM（只读存储器）、FLASH（快闪存储器）、NVM</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非易失性存储器</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等存储芯片；信号链产品（射频、数模转换、放大器、滤波器、振荡器等）及电源管理类产品（AC/DC、BCD、驱动IC、过流过压保护等）等模拟芯片</w:t>
      </w:r>
      <w:r>
        <w:rPr>
          <w:rFonts w:hint="eastAsia" w:cs="Times New Roman"/>
          <w:color w:val="000000" w:themeColor="text1"/>
          <w14:textFill>
            <w14:solidFill>
              <w14:schemeClr w14:val="tx1"/>
            </w14:solidFill>
          </w14:textFill>
        </w:rPr>
        <w:t>以及触控控制芯片、TDDI 触控显示集成芯片、指纹识别芯片、音频Codec、信号链时序类芯片等数模混合芯片</w:t>
      </w:r>
      <w:r>
        <w:rPr>
          <w:rFonts w:cs="Times New Roman"/>
          <w:color w:val="000000" w:themeColor="text1"/>
          <w14:textFill>
            <w14:solidFill>
              <w14:schemeClr w14:val="tx1"/>
            </w14:solidFill>
          </w14:textFill>
        </w:rPr>
        <w:t>：光通信芯片；CIS（图像传感器）芯片、显示驱动芯片等芯片国产化进程，同步突破SIC（碳化硅）、MEMS（微机电系统）、MOSFET（金属-氧化物半导体场效应管）、FRD（快速恢复二极管）以及IGBT（绝缘栅双极型晶体管）等功率器件及模组关键技术壁垒，以构建自主可控的半导体产业生态。</w:t>
      </w:r>
    </w:p>
    <w:p w14:paraId="2DAE5472">
      <w:pPr>
        <w:widowControl/>
        <w:wordWrap w:val="0"/>
        <w:ind w:firstLine="643"/>
        <w:outlineLvl w:val="2"/>
        <w:rPr>
          <w:rFonts w:cs="Times New Roman"/>
          <w:b/>
          <w:bCs/>
          <w:color w:val="000000" w:themeColor="text1"/>
          <w:kern w:val="0"/>
          <w:szCs w:val="28"/>
          <w14:textFill>
            <w14:solidFill>
              <w14:schemeClr w14:val="tx1"/>
            </w14:solidFill>
          </w14:textFill>
        </w:rPr>
      </w:pPr>
      <w:r>
        <w:rPr>
          <w:rFonts w:cs="Times New Roman"/>
          <w:b/>
          <w:bCs/>
          <w:color w:val="000000" w:themeColor="text1"/>
          <w:kern w:val="0"/>
          <w:szCs w:val="28"/>
          <w14:textFill>
            <w14:solidFill>
              <w14:schemeClr w14:val="tx1"/>
            </w14:solidFill>
          </w14:textFill>
        </w:rPr>
        <w:t>指南4：集成电路封装测试协同创新研究及应用</w:t>
      </w:r>
    </w:p>
    <w:p w14:paraId="2646ACA0">
      <w:pPr>
        <w:ind w:firstLine="640"/>
        <w:rPr>
          <w:rFonts w:cs="Times New Roman"/>
          <w:bCs/>
          <w:color w:val="000000" w:themeColor="text1"/>
          <w:szCs w:val="32"/>
          <w14:textFill>
            <w14:solidFill>
              <w14:schemeClr w14:val="tx1"/>
            </w14:solidFill>
          </w14:textFill>
        </w:rPr>
      </w:pPr>
      <w:r>
        <w:rPr>
          <w:rFonts w:cs="Times New Roman"/>
          <w:color w:val="000000" w:themeColor="text1"/>
          <w14:textFill>
            <w14:solidFill>
              <w14:schemeClr w14:val="tx1"/>
            </w14:solidFill>
          </w14:textFill>
        </w:rPr>
        <w:t>聚焦高密度封装可靠性、异构集成度及复杂环境稳定性等核心性能突破，重点攻克倒装芯片（FC）高密度细间距互连技术，实现高集成度、微型化与可靠性跃升，球栅阵列（BGA）焊点均匀，晶圆级封装（WLCSP）超薄结构抗分层技术，三维堆叠（3D）热应力协同优化，系统级封装（SiP）多材料界面匹配及MEMS敏感结构防护等关键技术集群，围绕微型化集成、长周期可靠性、智能检测等产品特性，实现封装缺陷率显著降低与极端环境耐受性突破；通过智能检测算法迭代与动态环境验证体系创新，推动其在消费电子、航空航天等高端领域规模化应用，支撑5G通信、人工智能及物联网设备的高性能封装需求。</w:t>
      </w:r>
      <w:r>
        <w:rPr>
          <w:rFonts w:hint="eastAsia" w:cs="Times New Roman"/>
          <w:color w:val="000000" w:themeColor="text1"/>
          <w14:textFill>
            <w14:solidFill>
              <w14:schemeClr w14:val="tx1"/>
            </w14:solidFill>
          </w14:textFill>
        </w:rPr>
        <w:t>聚焦高算力（CPU、GPU、AI、FPGA）、先进架构与先进封装（SoC、Chiplet、SiP）、车规及工业等高可靠性芯片测试需求，重点攻克宽温域、高Pin数、极高同测数、极小Pad间距、高测试频率等关键复杂测试技术；依托智能测试生产管理系统，实现晶圆测试预警反馈、良率分析等全流程自动化，兼顾测试数据安全、管理与共享，提升测试效率、压降成本、降低测试呆错风险。</w:t>
      </w:r>
    </w:p>
    <w:p w14:paraId="198E6323">
      <w:pPr>
        <w:ind w:firstLine="640"/>
        <w:rPr>
          <w:rFonts w:cs="Times New Roman"/>
          <w:bCs/>
          <w:color w:val="000000" w:themeColor="text1"/>
          <w:szCs w:val="32"/>
          <w14:textFill>
            <w14:solidFill>
              <w14:schemeClr w14:val="tx1"/>
            </w14:solidFill>
          </w14:textFill>
        </w:rPr>
      </w:pPr>
    </w:p>
    <w:p w14:paraId="62C2F6EB">
      <w:pPr>
        <w:ind w:firstLine="640"/>
        <w:rPr>
          <w:rFonts w:cs="Times New Roman"/>
          <w:color w:val="000000" w:themeColor="text1"/>
          <w14:textFill>
            <w14:solidFill>
              <w14:schemeClr w14:val="tx1"/>
            </w14:solidFill>
          </w14:textFill>
        </w:rPr>
      </w:pPr>
    </w:p>
    <w:p w14:paraId="6E4C36E3">
      <w:pPr>
        <w:ind w:firstLine="640"/>
        <w:rPr>
          <w:rFonts w:cs="Times New Roman"/>
          <w:color w:val="000000" w:themeColor="text1"/>
          <w14:textFill>
            <w14:solidFill>
              <w14:schemeClr w14:val="tx1"/>
            </w14:solidFill>
          </w14:textFill>
        </w:rPr>
        <w:sectPr>
          <w:pgSz w:w="11906" w:h="16838"/>
          <w:pgMar w:top="2098" w:right="1474" w:bottom="1814" w:left="1587" w:header="851" w:footer="992" w:gutter="0"/>
          <w:cols w:space="0" w:num="1"/>
          <w:docGrid w:type="lines" w:linePitch="312" w:charSpace="0"/>
        </w:sectPr>
      </w:pPr>
    </w:p>
    <w:p w14:paraId="1A82A354">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37" w:name="_Toc1389791404"/>
      <w:bookmarkStart w:id="38" w:name="_Toc632722381"/>
      <w:r>
        <w:rPr>
          <w:rFonts w:hint="default" w:ascii="Times New Roman" w:hAnsi="Times New Roman"/>
          <w:color w:val="000000" w:themeColor="text1"/>
          <w14:textFill>
            <w14:solidFill>
              <w14:schemeClr w14:val="tx1"/>
            </w14:solidFill>
          </w14:textFill>
        </w:rPr>
        <w:t>下一代风光电产业链</w:t>
      </w:r>
      <w:bookmarkEnd w:id="37"/>
      <w:bookmarkEnd w:id="38"/>
    </w:p>
    <w:p w14:paraId="5D7A30A2">
      <w:pPr>
        <w:widowControl/>
        <w:ind w:firstLine="640"/>
        <w:rPr>
          <w:color w:val="000000" w:themeColor="text1"/>
          <w14:textFill>
            <w14:solidFill>
              <w14:schemeClr w14:val="tx1"/>
            </w14:solidFill>
          </w14:textFill>
        </w:rPr>
      </w:pPr>
      <w:r>
        <w:rPr>
          <w:color w:val="000000" w:themeColor="text1"/>
          <w14:textFill>
            <w14:solidFill>
              <w14:schemeClr w14:val="tx1"/>
            </w14:solidFill>
          </w14:textFill>
        </w:rPr>
        <w:t>下一代风光电产业作为全球能源转型与碳中和目标的核心载体，正以技术创新为驱动，构建起覆盖材料研发、装备制造、系统集成到智慧运维的全链条生态，其产业链上游涵盖高效光伏材料、大容量风电机组专用材料、氢能储能关键材料等；中游聚焦超高效光伏组件、海上风电机组及风光氢储一体化系统等的研发与制造；下游深度融入海上综合能源开发、新型电力系统等战略场景。</w:t>
      </w:r>
    </w:p>
    <w:p w14:paraId="16E1E409">
      <w:pPr>
        <w:widowControl/>
        <w:ind w:firstLine="640"/>
        <w:rPr>
          <w:color w:val="000000" w:themeColor="text1"/>
          <w14:textFill>
            <w14:solidFill>
              <w14:schemeClr w14:val="tx1"/>
            </w14:solidFill>
          </w14:textFill>
        </w:rPr>
      </w:pPr>
      <w:r>
        <w:rPr>
          <w:color w:val="000000" w:themeColor="text1"/>
          <w14:textFill>
            <w14:solidFill>
              <w14:schemeClr w14:val="tx1"/>
            </w14:solidFill>
          </w14:textFill>
        </w:rPr>
        <w:t>本次“指南”主要聚焦于下一代风光电产业链风光电核心器件、新型交直流一体集成、光储充融合系统、液冷散热闭环控制、风光储一体化集成系统等领域。具体如下：</w:t>
      </w:r>
    </w:p>
    <w:p w14:paraId="7CFA2788">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指南1：高性能风光电核心器件研发攻关</w:t>
      </w:r>
    </w:p>
    <w:p w14:paraId="3192EE36">
      <w:pPr>
        <w:widowControl/>
        <w:ind w:firstLine="640"/>
        <w:rPr>
          <w:color w:val="000000" w:themeColor="text1"/>
          <w14:textFill>
            <w14:solidFill>
              <w14:schemeClr w14:val="tx1"/>
            </w14:solidFill>
          </w14:textFill>
        </w:rPr>
      </w:pPr>
      <w:r>
        <w:rPr>
          <w:color w:val="000000" w:themeColor="text1"/>
          <w14:textFill>
            <w14:solidFill>
              <w14:schemeClr w14:val="tx1"/>
            </w14:solidFill>
          </w14:textFill>
        </w:rPr>
        <w:t>支持超高效率光伏组件、大容量海上/陆上风机核心部件、长寿命储能电芯等产品，重点突破能量密度、循环寿命、能量损耗等关键参数约束。依托新型材料与结构设计，延长产品使用寿命，降低系统温差波动，提升极端环境适应性，筑牢产业链核心竞争力。</w:t>
      </w:r>
    </w:p>
    <w:p w14:paraId="3E7ADA15">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指南2：新型交直流一体集成技术突破</w:t>
      </w:r>
    </w:p>
    <w:p w14:paraId="509AF40C">
      <w:pPr>
        <w:widowControl/>
        <w:ind w:firstLine="640"/>
        <w:rPr>
          <w:color w:val="000000" w:themeColor="text1"/>
          <w14:textFill>
            <w14:solidFill>
              <w14:schemeClr w14:val="tx1"/>
            </w14:solidFill>
          </w14:textFill>
        </w:rPr>
      </w:pPr>
      <w:r>
        <w:rPr>
          <w:color w:val="000000" w:themeColor="text1"/>
          <w14:textFill>
            <w14:solidFill>
              <w14:schemeClr w14:val="tx1"/>
            </w14:solidFill>
          </w14:textFill>
        </w:rPr>
        <w:t>支持开展交直流柔性并网、高压高效集成、多能流协同管控技术研发，打造一体化功率变换与能量调度平台。攻克系统兼容、高效传输、安全稳定等技术难点，实现风光电直流侧高效汇集、交流侧灵活并网，大幅降低能量传输损耗，提升系统响应速度与运行效率，构建适配下一代电网的新型电力装备体系。</w:t>
      </w:r>
    </w:p>
    <w:p w14:paraId="7BF258DB">
      <w:pPr>
        <w:pStyle w:val="23"/>
        <w:numPr>
          <w:ilvl w:val="0"/>
          <w:numId w:val="0"/>
        </w:numPr>
        <w:wordWrap/>
        <w:ind w:firstLine="641"/>
        <w:outlineLvl w:val="9"/>
        <w:rPr>
          <w:color w:val="000000" w:themeColor="text1"/>
          <w14:textFill>
            <w14:solidFill>
              <w14:schemeClr w14:val="tx1"/>
            </w14:solidFill>
          </w14:textFill>
        </w:rPr>
      </w:pPr>
      <w:r>
        <w:rPr>
          <w:b/>
          <w:bCs w:val="0"/>
          <w:color w:val="000000" w:themeColor="text1"/>
          <w14:textFill>
            <w14:solidFill>
              <w14:schemeClr w14:val="tx1"/>
            </w14:solidFill>
          </w14:textFill>
        </w:rPr>
        <w:t>指南3：光储充融合系统集成示范</w:t>
      </w:r>
    </w:p>
    <w:p w14:paraId="7C5F8066">
      <w:pPr>
        <w:widowControl/>
        <w:ind w:firstLine="640"/>
        <w:rPr>
          <w:color w:val="000000" w:themeColor="text1"/>
          <w14:textFill>
            <w14:solidFill>
              <w14:schemeClr w14:val="tx1"/>
            </w14:solidFill>
          </w14:textFill>
        </w:rPr>
      </w:pPr>
      <w:r>
        <w:rPr>
          <w:color w:val="000000" w:themeColor="text1"/>
          <w14:textFill>
            <w14:solidFill>
              <w14:schemeClr w14:val="tx1"/>
            </w14:solidFill>
          </w14:textFill>
        </w:rPr>
        <w:t>支持整合光伏发电、高效储能、智能充电等功能模块，优化能量路由与供需匹配策略，实现新能源就地消纳、峰谷调节、应急保供多元价值。推动系统小型化、模块化、标准化设计，降低部署成本与运维难度，形成可复制推广的综合能源解决方案。</w:t>
      </w:r>
    </w:p>
    <w:p w14:paraId="76AEBE72">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指南4：液冷散热与智能热管理技术创新</w:t>
      </w:r>
    </w:p>
    <w:p w14:paraId="6B2DA599">
      <w:pPr>
        <w:widowControl/>
        <w:ind w:firstLine="640"/>
        <w:rPr>
          <w:color w:val="000000" w:themeColor="text1"/>
          <w14:textFill>
            <w14:solidFill>
              <w14:schemeClr w14:val="tx1"/>
            </w14:solidFill>
          </w14:textFill>
        </w:rPr>
      </w:pPr>
      <w:r>
        <w:rPr>
          <w:color w:val="000000" w:themeColor="text1"/>
          <w14:textFill>
            <w14:solidFill>
              <w14:schemeClr w14:val="tx1"/>
            </w14:solidFill>
          </w14:textFill>
        </w:rPr>
        <w:t>聚焦液冷散热闭环控制、智能混合冷却、跨层级协同温控等核心技术，研发高可靠、低能耗热管理系统。实现系统温差精准调控、散热损耗大幅下降，保障设备在高功率、高密度场景下稳定运行。结合数字化管控平台，达成毫秒级数据响应与全生命周期热管理，提升系统安全性与使用寿命。</w:t>
      </w:r>
    </w:p>
    <w:p w14:paraId="712794DC">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指南5：风光储一体化集成系统解决方案打造</w:t>
      </w:r>
    </w:p>
    <w:p w14:paraId="3FA210AC">
      <w:pPr>
        <w:widowControl/>
        <w:ind w:firstLine="640"/>
        <w:rPr>
          <w:color w:val="000000" w:themeColor="text1"/>
          <w14:textFill>
            <w14:solidFill>
              <w14:schemeClr w14:val="tx1"/>
            </w14:solidFill>
          </w14:textFill>
        </w:rPr>
      </w:pPr>
      <w:r>
        <w:rPr>
          <w:color w:val="000000" w:themeColor="text1"/>
          <w14:textFill>
            <w14:solidFill>
              <w14:schemeClr w14:val="tx1"/>
            </w14:solidFill>
          </w14:textFill>
        </w:rPr>
        <w:t>支持企业联合科研院所、行业机构，开发下一代风光储一体化集成系统。融合先进电芯、高效变流、智能温控、云端运维等技术，优化系统结构与能量管理逻辑，全面提升循环效率与能量利用率。形成技术标准、施工规范、运维体系一体化成果，推动国产技术替代，抢占全球产业技术制高点。</w:t>
      </w:r>
    </w:p>
    <w:p w14:paraId="732C61A6">
      <w:pPr>
        <w:ind w:firstLine="640"/>
        <w:rPr>
          <w:color w:val="000000" w:themeColor="text1"/>
          <w14:textFill>
            <w14:solidFill>
              <w14:schemeClr w14:val="tx1"/>
            </w14:solidFill>
          </w14:textFill>
        </w:rPr>
      </w:pPr>
      <w:r>
        <w:rPr>
          <w:color w:val="000000" w:themeColor="text1"/>
          <w14:textFill>
            <w14:solidFill>
              <w14:schemeClr w14:val="tx1"/>
            </w14:solidFill>
          </w14:textFill>
        </w:rPr>
        <w:br w:type="page"/>
      </w:r>
    </w:p>
    <w:p w14:paraId="60ABB228">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39" w:name="_Toc1567534915"/>
      <w:bookmarkStart w:id="40" w:name="_Toc1960555706"/>
      <w:r>
        <w:rPr>
          <w:rFonts w:hint="default" w:ascii="Times New Roman" w:hAnsi="Times New Roman"/>
          <w:color w:val="000000" w:themeColor="text1"/>
          <w14:textFill>
            <w14:solidFill>
              <w14:schemeClr w14:val="tx1"/>
            </w14:solidFill>
          </w14:textFill>
        </w:rPr>
        <w:t>新型储能产业链</w:t>
      </w:r>
      <w:bookmarkEnd w:id="39"/>
      <w:bookmarkEnd w:id="40"/>
    </w:p>
    <w:p w14:paraId="72C3D27B">
      <w:pPr>
        <w:widowControl/>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新型储能产业链涵盖储能系统集成、能量管理和多元应用等环节。上游包括正负极材料、电解液/电解质、隔膜、电池管理系统（BMS）等；中游涉及氢燃料电池、固态电池、锂离子电池、钠离子电池、新型晶硅太阳能电池等的研发制造和集成；下游广泛应用于新能源汽车、电网侧调峰调频、新能源配储、工商业削峰填谷等领域。</w:t>
      </w:r>
    </w:p>
    <w:p w14:paraId="1484B62D">
      <w:pPr>
        <w:widowControl/>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本次“指南”主要聚焦于新型储能产业链高效集成系统、链氢燃料电池、大圆柱电池、固态电池、储能薄膜电容器等领域。具体如下：</w:t>
      </w:r>
    </w:p>
    <w:p w14:paraId="6197C41A">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指南1：高效储能集成系统开发及产业化</w:t>
      </w:r>
    </w:p>
    <w:p w14:paraId="0EA5E1D7">
      <w:pPr>
        <w:widowControl/>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产品能量密度、系统温差、使用寿命、能量损耗、循环效率等性能指标，突破新型交直流一体集成、光储充融合、液冷散热闭环控制等技术难点，结合智能混合冷却等技术，形成高效储能集成系统解决方案，实现毫秒级数据响应与跨层级热管理，填补国内空白。</w:t>
      </w:r>
    </w:p>
    <w:p w14:paraId="47AE9F73">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指南2：高性能大圆柱电池的研发与应用</w:t>
      </w:r>
    </w:p>
    <w:p w14:paraId="1D27CAF0">
      <w:pPr>
        <w:widowControl/>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大圆柱电池高能量密度、长循环寿命、低成本及宽温域适应性等性能特点，开发高容量硅碳负极、高稳定高镍正极和复合固态电解质等材料和技术，显著提升电池能量密度和安全性；采用全自动磁悬浮高速激光焊接组装线、超高压注液线等方式，推动大电芯、全极耳和干电池多技术融合，填补国内空白，实现进口替代。</w:t>
      </w:r>
    </w:p>
    <w:p w14:paraId="723FBBCA">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指南3：高性能氢燃料电池的研发与应用</w:t>
      </w:r>
    </w:p>
    <w:p w14:paraId="495F88EF">
      <w:pPr>
        <w:widowControl/>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氢燃料电池高功率密度、高能量转换效率、长寿命，并需兼顾低温适应性、低成本及材料国产化率全链条提升等性能特点；突破高性能复合质子交换膜材料创新、储氢技术升级、低铂/无铂催化剂开发、关键材料依赖进口、稀有金属用量制约、高安全储氢与储运技术升级储运技术瓶颈、系统集成稳定性不足，以及氢脆效应和高温高压环境下的安全性挑战等技术难点，加快制氢－储运－应用全链条协同，推动场景化应用（重卡、船舶、电网应急电源等），加速技术从实验室向规模化商业落地转化。</w:t>
      </w:r>
    </w:p>
    <w:p w14:paraId="1677817B">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指南4：高比能固态电池开发及产业化</w:t>
      </w:r>
    </w:p>
    <w:p w14:paraId="1F624B27">
      <w:pPr>
        <w:widowControl/>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固态电池高能量密度、本质安全及长循环寿命等核心优势，通过跨界技术整合与全链条协同创新，加速其在储能电站、智能穿戴等战略产业的商业化进程。重点突破高离子导电解质材料（氧化物/硫化物/聚合物）、界面阻抗优化及超薄固态电解质制备技术，开发锂金属复合负极/高镍单晶正极匹配体系，攻克固态电芯一体化成型工艺与热失控阻断机制，实现400Wh/kg级固态动力电池量产应用与成本控制，构建自主可控的固态电池产业生态。</w:t>
      </w:r>
    </w:p>
    <w:p w14:paraId="15989CC2">
      <w:pPr>
        <w:pStyle w:val="23"/>
        <w:numPr>
          <w:ilvl w:val="0"/>
          <w:numId w:val="0"/>
        </w:numPr>
        <w:wordWrap/>
        <w:ind w:firstLine="641"/>
        <w:outlineLvl w:val="9"/>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指南5：储能系统高性能薄膜电容器开发与产业化</w:t>
      </w:r>
    </w:p>
    <w:p w14:paraId="2FF26927">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新型储能系统在高温、高应力等复杂工况下对核心器件可靠性的严峻挑战，开发高温介质材料－薄膜制备－电容器封测全链条产业化能力，突破高温环境对介质材料击穿场强衰减与泄漏电流激增核心技术难点，填补国内高端储能系统在高温下高性能薄膜电容器国产化空白，提升储能产业链核心器件自主可控能力和安全韧性。</w:t>
      </w:r>
    </w:p>
    <w:p w14:paraId="610A40BD">
      <w:pPr>
        <w:ind w:firstLine="640"/>
        <w:rPr>
          <w:rFonts w:cs="Times New Roman"/>
          <w:color w:val="000000" w:themeColor="text1"/>
          <w14:textFill>
            <w14:solidFill>
              <w14:schemeClr w14:val="tx1"/>
            </w14:solidFill>
          </w14:textFill>
        </w:rPr>
        <w:sectPr>
          <w:pgSz w:w="11906" w:h="16838"/>
          <w:pgMar w:top="2098" w:right="1474" w:bottom="1814" w:left="1587" w:header="851" w:footer="992" w:gutter="0"/>
          <w:cols w:space="0" w:num="1"/>
          <w:docGrid w:type="lines" w:linePitch="312" w:charSpace="0"/>
        </w:sectPr>
      </w:pPr>
    </w:p>
    <w:p w14:paraId="077CD0A1">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41" w:name="_Toc216839759"/>
      <w:bookmarkStart w:id="42" w:name="_Toc1039391512"/>
      <w:r>
        <w:rPr>
          <w:rFonts w:hint="default" w:ascii="Times New Roman" w:hAnsi="Times New Roman"/>
          <w:color w:val="000000" w:themeColor="text1"/>
          <w14:textFill>
            <w14:solidFill>
              <w14:schemeClr w14:val="tx1"/>
            </w14:solidFill>
          </w14:textFill>
        </w:rPr>
        <w:t>航空航天产业链</w:t>
      </w:r>
      <w:bookmarkEnd w:id="41"/>
      <w:bookmarkEnd w:id="42"/>
    </w:p>
    <w:p w14:paraId="26B29885">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航空航天产业链涵盖整机制造、分系统配套和运营服务等环节。上游包括航空</w:t>
      </w:r>
      <w:r>
        <w:rPr>
          <w:color w:val="000000" w:themeColor="text1"/>
          <w14:textFill>
            <w14:solidFill>
              <w14:schemeClr w14:val="tx1"/>
            </w14:solidFill>
          </w14:textFill>
        </w:rPr>
        <w:t>航天专用</w:t>
      </w:r>
      <w:r>
        <w:rPr>
          <w:rFonts w:hint="eastAsia"/>
          <w:color w:val="000000" w:themeColor="text1"/>
          <w14:textFill>
            <w14:solidFill>
              <w14:schemeClr w14:val="tx1"/>
            </w14:solidFill>
          </w14:textFill>
        </w:rPr>
        <w:t>材料、发动机、机载</w:t>
      </w:r>
      <w:r>
        <w:rPr>
          <w:color w:val="000000" w:themeColor="text1"/>
          <w14:textFill>
            <w14:solidFill>
              <w14:schemeClr w14:val="tx1"/>
            </w14:solidFill>
          </w14:textFill>
        </w:rPr>
        <w:t>（箭载、星载）</w:t>
      </w:r>
      <w:r>
        <w:rPr>
          <w:rFonts w:hint="eastAsia"/>
          <w:color w:val="000000" w:themeColor="text1"/>
          <w14:textFill>
            <w14:solidFill>
              <w14:schemeClr w14:val="tx1"/>
            </w14:solidFill>
          </w14:textFill>
        </w:rPr>
        <w:t>设备、通信系统等；中游涉及飞机、航天器、卫星、火箭总装制造和测试验证等；下游广泛应用于民用航空、国防军工、卫星通信、空间探索等领域。</w:t>
      </w:r>
    </w:p>
    <w:p w14:paraId="51809BB2">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本次“指南”主要聚焦于航空航天产业链空天飞行器、卫星/火箭制造等领域。具体如下：</w:t>
      </w:r>
    </w:p>
    <w:p w14:paraId="06EA4DE1">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指南1：面向空天开发的飞行器技术研究与应用</w:t>
      </w:r>
    </w:p>
    <w:p w14:paraId="712E54A0">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空天飞行器高效飞行能力、可重复使用性、高可靠热防护以及智能自主控制等性能要求，要求能够解决动力系统模态切换、气动外形跨速域适应性、轻量化耐高温材料，以及高精度导航与控制等技术难点；并推动可重复使用火箭技术，以实现低成本、高频次的空天运输与攻防能力。</w:t>
      </w:r>
    </w:p>
    <w:p w14:paraId="46A47A43">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指南2：卫星/火箭及其关键配套部件制造与应用</w:t>
      </w:r>
    </w:p>
    <w:p w14:paraId="33851F35">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卫星/火箭制造前沿创新应用，要求具备高经济性商用载荷能力；卫星/火箭能够解决材料工艺极限挑战、核心器件国产化率不足，以及可复用火箭热防护与发动机寿命提升等技术难点；关键配套部件聚焦高推力、长寿命、可复用等目标，推动国产化替代和标准化体系建设，加速技术从实验室向载人、低轨星座组网等重大工程落地转化。</w:t>
      </w:r>
    </w:p>
    <w:p w14:paraId="0DEF3C4E">
      <w:pPr>
        <w:ind w:left="640" w:leftChars="200" w:firstLine="0" w:firstLineChars="0"/>
        <w:rPr>
          <w:rFonts w:cs="Times New Roman"/>
          <w:color w:val="000000" w:themeColor="text1"/>
          <w14:textFill>
            <w14:solidFill>
              <w14:schemeClr w14:val="tx1"/>
            </w14:solidFill>
          </w14:textFill>
        </w:rPr>
      </w:pPr>
    </w:p>
    <w:p w14:paraId="07ED107D">
      <w:pPr>
        <w:pStyle w:val="25"/>
        <w:numPr>
          <w:ilvl w:val="0"/>
          <w:numId w:val="1"/>
        </w:numPr>
        <w:ind w:firstLine="643"/>
        <w:rPr>
          <w:rFonts w:hint="default" w:ascii="Times New Roman" w:hAnsi="Times New Roman"/>
          <w:color w:val="000000" w:themeColor="text1"/>
          <w14:textFill>
            <w14:solidFill>
              <w14:schemeClr w14:val="tx1"/>
            </w14:solidFill>
          </w14:textFill>
        </w:rPr>
        <w:sectPr>
          <w:pgSz w:w="11906" w:h="16838"/>
          <w:pgMar w:top="2098" w:right="1474" w:bottom="1814" w:left="1587" w:header="851" w:footer="992" w:gutter="0"/>
          <w:cols w:space="0" w:num="1"/>
          <w:docGrid w:type="lines" w:linePitch="312" w:charSpace="0"/>
        </w:sectPr>
      </w:pPr>
    </w:p>
    <w:p w14:paraId="61A9BD08">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43" w:name="_Toc345843370"/>
      <w:bookmarkStart w:id="44" w:name="_Toc608562956"/>
      <w:r>
        <w:rPr>
          <w:rFonts w:hint="default" w:ascii="Times New Roman" w:hAnsi="Times New Roman"/>
          <w:color w:val="000000" w:themeColor="text1"/>
          <w14:textFill>
            <w14:solidFill>
              <w14:schemeClr w14:val="tx1"/>
            </w14:solidFill>
          </w14:textFill>
        </w:rPr>
        <w:t>低空装备产业链</w:t>
      </w:r>
      <w:bookmarkEnd w:id="43"/>
      <w:bookmarkEnd w:id="44"/>
    </w:p>
    <w:p w14:paraId="5BA3E52C">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低空装备产业链涵盖整机研制、核心部件和场景应用等环节。上游包括</w:t>
      </w:r>
      <w:r>
        <w:rPr>
          <w:color w:val="000000" w:themeColor="text1"/>
          <w14:textFill>
            <w14:solidFill>
              <w14:schemeClr w14:val="tx1"/>
            </w14:solidFill>
          </w14:textFill>
        </w:rPr>
        <w:t>轻量化材料、</w:t>
      </w:r>
      <w:r>
        <w:rPr>
          <w:rFonts w:hint="eastAsia"/>
          <w:color w:val="000000" w:themeColor="text1"/>
          <w14:textFill>
            <w14:solidFill>
              <w14:schemeClr w14:val="tx1"/>
            </w14:solidFill>
          </w14:textFill>
        </w:rPr>
        <w:t>动力</w:t>
      </w:r>
      <w:r>
        <w:rPr>
          <w:color w:val="000000" w:themeColor="text1"/>
          <w14:textFill>
            <w14:solidFill>
              <w14:schemeClr w14:val="tx1"/>
            </w14:solidFill>
          </w14:textFill>
        </w:rPr>
        <w:t>系统</w:t>
      </w:r>
      <w:r>
        <w:rPr>
          <w:rFonts w:hint="eastAsia"/>
          <w:color w:val="000000" w:themeColor="text1"/>
          <w14:textFill>
            <w14:solidFill>
              <w14:schemeClr w14:val="tx1"/>
            </w14:solidFill>
          </w14:textFill>
        </w:rPr>
        <w:t>、飞控系统、通信导航、传感器等；中游涉及eVTOL（电动垂直起降飞行器）、工业无人机、消费级无人机设计制造等；下游广泛应用于低空物流、城市空中交通、农林植保、电力巡检、应急救援、航拍测绘等领域。</w:t>
      </w:r>
    </w:p>
    <w:p w14:paraId="4BA0BA9A">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本次“指南”主要聚焦于低空装备产业链低空飞行器整机制造、关键系统及零部件，和低空飞行保障设备等领域。具体如下：</w:t>
      </w:r>
    </w:p>
    <w:p w14:paraId="262FE03E">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指南1：典型场景专业化低空飞行器</w:t>
      </w:r>
      <w:r>
        <w:rPr>
          <w:rFonts w:hint="eastAsia"/>
          <w:b/>
          <w:bCs w:val="0"/>
          <w:color w:val="000000" w:themeColor="text1"/>
          <w14:textFill>
            <w14:solidFill>
              <w14:schemeClr w14:val="tx1"/>
            </w14:solidFill>
          </w14:textFill>
        </w:rPr>
        <w:t>研发</w:t>
      </w:r>
      <w:r>
        <w:rPr>
          <w:b/>
          <w:bCs w:val="0"/>
          <w:color w:val="000000" w:themeColor="text1"/>
          <w14:textFill>
            <w14:solidFill>
              <w14:schemeClr w14:val="tx1"/>
            </w14:solidFill>
          </w14:textFill>
        </w:rPr>
        <w:t>及</w:t>
      </w:r>
      <w:r>
        <w:rPr>
          <w:rFonts w:hint="eastAsia"/>
          <w:b/>
          <w:bCs w:val="0"/>
          <w:color w:val="000000" w:themeColor="text1"/>
          <w14:textFill>
            <w14:solidFill>
              <w14:schemeClr w14:val="tx1"/>
            </w14:solidFill>
          </w14:textFill>
        </w:rPr>
        <w:t>应用</w:t>
      </w:r>
    </w:p>
    <w:p w14:paraId="28FDB6E6">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面向宁波滨海、临湾、多山、多水和跨区运输等低空应用场景，适应当地复杂地形地貌及气象条件，研发专业化低空飞行器及其核心部件，突破长航时大负载条件下动力续航、环境适应性及任务可靠性等关键技术瓶颈，系统性提升低空飞行器在复杂场景下的专业化能力。低空飞行器完成地面综合试验和典型应用场景的飞行试验验证，并在宁波市内完成应用示范；</w:t>
      </w:r>
      <w:r>
        <w:rPr>
          <w:rFonts w:hint="eastAsia" w:cs="Times New Roman"/>
          <w:color w:val="000000" w:themeColor="text1"/>
          <w14:textFill>
            <w14:solidFill>
              <w14:schemeClr w14:val="tx1"/>
            </w14:solidFill>
          </w14:textFill>
        </w:rPr>
        <w:t>核心</w:t>
      </w:r>
      <w:r>
        <w:rPr>
          <w:rFonts w:cs="Times New Roman"/>
          <w:color w:val="000000" w:themeColor="text1"/>
          <w14:textFill>
            <w14:solidFill>
              <w14:schemeClr w14:val="tx1"/>
            </w14:solidFill>
          </w14:textFill>
        </w:rPr>
        <w:t>部件完成与低空飞行器的联合飞行验证。</w:t>
      </w:r>
    </w:p>
    <w:p w14:paraId="369742D3">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2</w:t>
      </w:r>
      <w:r>
        <w:rPr>
          <w:b/>
          <w:bCs w:val="0"/>
          <w:color w:val="000000" w:themeColor="text1"/>
          <w14:textFill>
            <w14:solidFill>
              <w14:schemeClr w14:val="tx1"/>
            </w14:solidFill>
          </w14:textFill>
        </w:rPr>
        <w:t>：低空飞行器关键</w:t>
      </w:r>
      <w:r>
        <w:rPr>
          <w:rFonts w:hint="eastAsia"/>
          <w:b/>
          <w:bCs w:val="0"/>
          <w:color w:val="000000" w:themeColor="text1"/>
          <w14:textFill>
            <w14:solidFill>
              <w14:schemeClr w14:val="tx1"/>
            </w14:solidFill>
          </w14:textFill>
        </w:rPr>
        <w:t>系统及</w:t>
      </w:r>
      <w:r>
        <w:rPr>
          <w:b/>
          <w:bCs w:val="0"/>
          <w:color w:val="000000" w:themeColor="text1"/>
          <w14:textFill>
            <w14:solidFill>
              <w14:schemeClr w14:val="tx1"/>
            </w14:solidFill>
          </w14:textFill>
        </w:rPr>
        <w:t>零部件产业化</w:t>
      </w:r>
    </w:p>
    <w:p w14:paraId="2E79A45E">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研发适用于主流无人机、eVTOL、通航飞机（直升机）的</w:t>
      </w:r>
      <w:r>
        <w:rPr>
          <w:rFonts w:cs="Times New Roman"/>
          <w:color w:val="000000" w:themeColor="text1"/>
          <w14:textFill>
            <w14:solidFill>
              <w14:schemeClr w14:val="tx1"/>
            </w14:solidFill>
          </w14:textFill>
        </w:rPr>
        <w:t>动力系统（发动机、电机</w:t>
      </w:r>
      <w:r>
        <w:rPr>
          <w:rFonts w:hint="eastAsia" w:cs="Times New Roman"/>
          <w:color w:val="000000" w:themeColor="text1"/>
          <w14:textFill>
            <w14:solidFill>
              <w14:schemeClr w14:val="tx1"/>
            </w14:solidFill>
          </w14:textFill>
        </w:rPr>
        <w:t>/电驱</w:t>
      </w:r>
      <w:r>
        <w:rPr>
          <w:rFonts w:cs="Times New Roman"/>
          <w:color w:val="000000" w:themeColor="text1"/>
          <w14:textFill>
            <w14:solidFill>
              <w14:schemeClr w14:val="tx1"/>
            </w14:solidFill>
          </w14:textFill>
        </w:rPr>
        <w:t>、电池</w:t>
      </w:r>
      <w:r>
        <w:rPr>
          <w:rFonts w:hint="eastAsia" w:cs="Times New Roman"/>
          <w:color w:val="000000" w:themeColor="text1"/>
          <w14:textFill>
            <w14:solidFill>
              <w14:schemeClr w14:val="tx1"/>
            </w14:solidFill>
          </w14:textFill>
        </w:rPr>
        <w:t>等</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驱动系统（旋翼/螺旋桨等）、通信</w:t>
      </w:r>
      <w:r>
        <w:rPr>
          <w:rFonts w:cs="Times New Roman"/>
          <w:color w:val="000000" w:themeColor="text1"/>
          <w14:textFill>
            <w14:solidFill>
              <w14:schemeClr w14:val="tx1"/>
            </w14:solidFill>
          </w14:textFill>
        </w:rPr>
        <w:t>导航</w:t>
      </w:r>
      <w:r>
        <w:rPr>
          <w:rFonts w:hint="eastAsia" w:cs="Times New Roman"/>
          <w:color w:val="000000" w:themeColor="text1"/>
          <w14:textFill>
            <w14:solidFill>
              <w14:schemeClr w14:val="tx1"/>
            </w14:solidFill>
          </w14:textFill>
        </w:rPr>
        <w:t>监测模块</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飞行控制系统、机载任务系统、光电（镜头等）//</w:t>
      </w:r>
      <w:r>
        <w:rPr>
          <w:rFonts w:cs="Times New Roman"/>
          <w:color w:val="000000" w:themeColor="text1"/>
          <w14:textFill>
            <w14:solidFill>
              <w14:schemeClr w14:val="tx1"/>
            </w14:solidFill>
          </w14:textFill>
        </w:rPr>
        <w:t>雷达</w:t>
      </w:r>
      <w:r>
        <w:rPr>
          <w:rFonts w:hint="eastAsia" w:cs="Times New Roman"/>
          <w:color w:val="000000" w:themeColor="text1"/>
          <w14:textFill>
            <w14:solidFill>
              <w14:schemeClr w14:val="tx1"/>
            </w14:solidFill>
          </w14:textFill>
        </w:rPr>
        <w:t>、关键</w:t>
      </w:r>
      <w:r>
        <w:rPr>
          <w:rFonts w:cs="Times New Roman"/>
          <w:color w:val="000000" w:themeColor="text1"/>
          <w14:textFill>
            <w14:solidFill>
              <w14:schemeClr w14:val="tx1"/>
            </w14:solidFill>
          </w14:textFill>
        </w:rPr>
        <w:t>传感器、</w:t>
      </w:r>
      <w:r>
        <w:rPr>
          <w:rFonts w:hint="eastAsia" w:cs="Times New Roman"/>
          <w:color w:val="000000" w:themeColor="text1"/>
          <w14:textFill>
            <w14:solidFill>
              <w14:schemeClr w14:val="tx1"/>
            </w14:solidFill>
          </w14:textFill>
        </w:rPr>
        <w:t>轻量化</w:t>
      </w:r>
      <w:r>
        <w:rPr>
          <w:rFonts w:cs="Times New Roman"/>
          <w:color w:val="000000" w:themeColor="text1"/>
          <w14:textFill>
            <w14:solidFill>
              <w14:schemeClr w14:val="tx1"/>
            </w14:solidFill>
          </w14:textFill>
        </w:rPr>
        <w:t>复合材料构件、传动部件等核心</w:t>
      </w:r>
      <w:r>
        <w:rPr>
          <w:rFonts w:hint="eastAsia" w:cs="Times New Roman"/>
          <w:color w:val="000000" w:themeColor="text1"/>
          <w14:textFill>
            <w14:solidFill>
              <w14:schemeClr w14:val="tx1"/>
            </w14:solidFill>
          </w14:textFill>
        </w:rPr>
        <w:t>系统及</w:t>
      </w:r>
      <w:r>
        <w:rPr>
          <w:rFonts w:cs="Times New Roman"/>
          <w:color w:val="000000" w:themeColor="text1"/>
          <w14:textFill>
            <w14:solidFill>
              <w14:schemeClr w14:val="tx1"/>
            </w14:solidFill>
          </w14:textFill>
        </w:rPr>
        <w:t>零部件</w:t>
      </w:r>
      <w:r>
        <w:rPr>
          <w:rFonts w:hint="eastAsia" w:cs="Times New Roman"/>
          <w:color w:val="000000" w:themeColor="text1"/>
          <w14:textFill>
            <w14:solidFill>
              <w14:schemeClr w14:val="tx1"/>
            </w14:solidFill>
          </w14:textFill>
        </w:rPr>
        <w:t>，完成装机实验并开始批产。</w:t>
      </w:r>
    </w:p>
    <w:p w14:paraId="2A6DB0D6">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3</w:t>
      </w:r>
      <w:r>
        <w:rPr>
          <w:b/>
          <w:bCs w:val="0"/>
          <w:color w:val="000000" w:themeColor="text1"/>
          <w14:textFill>
            <w14:solidFill>
              <w14:schemeClr w14:val="tx1"/>
            </w14:solidFill>
          </w14:textFill>
        </w:rPr>
        <w:t>：</w:t>
      </w:r>
      <w:r>
        <w:rPr>
          <w:rFonts w:hint="eastAsia"/>
          <w:b/>
          <w:bCs w:val="0"/>
          <w:color w:val="000000" w:themeColor="text1"/>
          <w14:textFill>
            <w14:solidFill>
              <w14:schemeClr w14:val="tx1"/>
            </w14:solidFill>
          </w14:textFill>
        </w:rPr>
        <w:t>低空飞行保障设备</w:t>
      </w:r>
      <w:r>
        <w:rPr>
          <w:b/>
          <w:bCs w:val="0"/>
          <w:color w:val="000000" w:themeColor="text1"/>
          <w14:textFill>
            <w14:solidFill>
              <w14:schemeClr w14:val="tx1"/>
            </w14:solidFill>
          </w14:textFill>
        </w:rPr>
        <w:t>及其关键部件产业化</w:t>
      </w:r>
    </w:p>
    <w:p w14:paraId="4A6F1C24">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研发用于低空飞行保障的通信、导航、监视/感知/识别、干扰/欺骗/打击、气象等地面</w:t>
      </w:r>
      <w:r>
        <w:rPr>
          <w:rFonts w:cs="Times New Roman"/>
          <w:color w:val="000000" w:themeColor="text1"/>
          <w14:textFill>
            <w14:solidFill>
              <w14:schemeClr w14:val="tx1"/>
            </w14:solidFill>
          </w14:textFill>
        </w:rPr>
        <w:t>系统</w:t>
      </w:r>
      <w:r>
        <w:rPr>
          <w:rFonts w:hint="eastAsia" w:cs="Times New Roman"/>
          <w:color w:val="000000" w:themeColor="text1"/>
          <w14:textFill>
            <w14:solidFill>
              <w14:schemeClr w14:val="tx1"/>
            </w14:solidFill>
          </w14:textFill>
        </w:rPr>
        <w:t>和装</w:t>
      </w:r>
      <w:r>
        <w:rPr>
          <w:rFonts w:cs="Times New Roman"/>
          <w:color w:val="000000" w:themeColor="text1"/>
          <w14:textFill>
            <w14:solidFill>
              <w14:schemeClr w14:val="tx1"/>
            </w14:solidFill>
          </w14:textFill>
        </w:rPr>
        <w:t>设备</w:t>
      </w:r>
      <w:r>
        <w:rPr>
          <w:rFonts w:hint="eastAsia" w:cs="Times New Roman"/>
          <w:color w:val="000000" w:themeColor="text1"/>
          <w14:textFill>
            <w14:solidFill>
              <w14:schemeClr w14:val="tx1"/>
            </w14:solidFill>
          </w14:textFill>
        </w:rPr>
        <w:t>，研发用于地面保障的自动机巢、充电/补能、检测维修、运输等专用装设备，实现量产并有典型应用场景</w:t>
      </w:r>
      <w:r>
        <w:rPr>
          <w:rFonts w:cs="Times New Roman"/>
          <w:color w:val="000000" w:themeColor="text1"/>
          <w14:textFill>
            <w14:solidFill>
              <w14:schemeClr w14:val="tx1"/>
            </w14:solidFill>
          </w14:textFill>
        </w:rPr>
        <w:t>。</w:t>
      </w:r>
    </w:p>
    <w:p w14:paraId="6F34FF20">
      <w:pPr>
        <w:ind w:firstLine="640"/>
        <w:rPr>
          <w:rFonts w:cs="Times New Roman"/>
          <w:color w:val="000000" w:themeColor="text1"/>
          <w14:textFill>
            <w14:solidFill>
              <w14:schemeClr w14:val="tx1"/>
            </w14:solidFill>
          </w14:textFill>
        </w:rPr>
        <w:sectPr>
          <w:pgSz w:w="11906" w:h="16838"/>
          <w:pgMar w:top="2098" w:right="1474" w:bottom="1814" w:left="1587" w:header="851" w:footer="992" w:gutter="0"/>
          <w:cols w:space="0" w:num="1"/>
          <w:docGrid w:type="lines" w:linePitch="312" w:charSpace="0"/>
        </w:sectPr>
      </w:pPr>
    </w:p>
    <w:p w14:paraId="1B22A6B4">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45" w:name="_Toc696729397"/>
      <w:r>
        <w:rPr>
          <w:rFonts w:ascii="Times New Roman" w:hAnsi="Times New Roman"/>
          <w:color w:val="000000" w:themeColor="text1"/>
          <w14:textFill>
            <w14:solidFill>
              <w14:schemeClr w14:val="tx1"/>
            </w14:solidFill>
          </w14:textFill>
        </w:rPr>
        <w:t xml:space="preserve"> </w:t>
      </w:r>
      <w:bookmarkStart w:id="46" w:name="_Toc1100836133"/>
      <w:r>
        <w:rPr>
          <w:rFonts w:hint="default" w:ascii="Times New Roman" w:hAnsi="Times New Roman"/>
          <w:color w:val="000000" w:themeColor="text1"/>
          <w14:textFill>
            <w14:solidFill>
              <w14:schemeClr w14:val="tx1"/>
            </w14:solidFill>
          </w14:textFill>
        </w:rPr>
        <w:t>智能机器人产业链</w:t>
      </w:r>
      <w:bookmarkEnd w:id="46"/>
    </w:p>
    <w:p w14:paraId="7AE43DF4">
      <w:pPr>
        <w:ind w:firstLine="64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智能机器人产业链可以分为上中下游三个层次，上游主要是伺服电机、减速器、传感器、专用芯片等核心零部件；中游是智能机器人本体制造，包括设计、制造、测试三大环节；下游为机器人应用领域，包括工业制造、仓储物流、医疗服务、商业服务、家庭使用、特种环境等。</w:t>
      </w:r>
    </w:p>
    <w:p w14:paraId="381E9A72">
      <w:pPr>
        <w:ind w:firstLine="64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本次“指南”主要聚焦于智能机器人产业链上游核心零部件和</w:t>
      </w:r>
      <w:r>
        <w:rPr>
          <w:rFonts w:hint="eastAsia" w:cs="Times New Roman"/>
          <w:color w:val="000000" w:themeColor="text1"/>
          <w:szCs w:val="32"/>
          <w14:textFill>
            <w14:solidFill>
              <w14:schemeClr w14:val="tx1"/>
            </w14:solidFill>
          </w14:textFill>
        </w:rPr>
        <w:t>中</w:t>
      </w:r>
      <w:r>
        <w:rPr>
          <w:rFonts w:cs="Times New Roman"/>
          <w:color w:val="000000" w:themeColor="text1"/>
          <w:szCs w:val="32"/>
          <w14:textFill>
            <w14:solidFill>
              <w14:schemeClr w14:val="tx1"/>
            </w14:solidFill>
          </w14:textFill>
        </w:rPr>
        <w:t>游智能机器人</w:t>
      </w:r>
      <w:r>
        <w:rPr>
          <w:rFonts w:hint="eastAsia" w:cs="Times New Roman"/>
          <w:color w:val="000000" w:themeColor="text1"/>
          <w:szCs w:val="32"/>
          <w14:textFill>
            <w14:solidFill>
              <w14:schemeClr w14:val="tx1"/>
            </w14:solidFill>
          </w14:textFill>
        </w:rPr>
        <w:t>本体研制</w:t>
      </w:r>
      <w:r>
        <w:rPr>
          <w:rFonts w:cs="Times New Roman"/>
          <w:color w:val="000000" w:themeColor="text1"/>
          <w:szCs w:val="32"/>
          <w14:textFill>
            <w14:solidFill>
              <w14:schemeClr w14:val="tx1"/>
            </w14:solidFill>
          </w14:textFill>
        </w:rPr>
        <w:t>，主要包括电机、编码器、减速器、行星滚柱丝杠、末端执行器等，以及研制面向工业、服务、特种应用环境的智能机器人。具体如下：</w:t>
      </w:r>
    </w:p>
    <w:p w14:paraId="7602D3E3">
      <w:pPr>
        <w:pStyle w:val="23"/>
        <w:numPr>
          <w:ilvl w:val="0"/>
          <w:numId w:val="0"/>
        </w:numPr>
        <w:tabs>
          <w:tab w:val="left" w:pos="0"/>
          <w:tab w:val="clear" w:pos="420"/>
        </w:tabs>
        <w:ind w:firstLine="643" w:firstLineChars="200"/>
        <w:rPr>
          <w:bCs w:val="0"/>
          <w:color w:val="000000" w:themeColor="text1"/>
          <w:kern w:val="2"/>
          <w:szCs w:val="24"/>
          <w14:textFill>
            <w14:solidFill>
              <w14:schemeClr w14:val="tx1"/>
            </w14:solidFill>
          </w14:textFill>
        </w:rPr>
      </w:pPr>
      <w:r>
        <w:rPr>
          <w:b/>
          <w:bCs w:val="0"/>
          <w:color w:val="000000" w:themeColor="text1"/>
          <w14:textFill>
            <w14:solidFill>
              <w14:schemeClr w14:val="tx1"/>
            </w14:solidFill>
          </w14:textFill>
        </w:rPr>
        <w:t>指南1：智能机器人</w:t>
      </w:r>
      <w:r>
        <w:rPr>
          <w:rFonts w:hint="eastAsia"/>
          <w:b/>
          <w:bCs w:val="0"/>
          <w:color w:val="000000" w:themeColor="text1"/>
          <w14:textFill>
            <w14:solidFill>
              <w14:schemeClr w14:val="tx1"/>
            </w14:solidFill>
          </w14:textFill>
        </w:rPr>
        <w:t>本体研制开发</w:t>
      </w:r>
      <w:r>
        <w:rPr>
          <w:b/>
          <w:bCs w:val="0"/>
          <w:color w:val="000000" w:themeColor="text1"/>
          <w14:textFill>
            <w14:solidFill>
              <w14:schemeClr w14:val="tx1"/>
            </w14:solidFill>
          </w14:textFill>
        </w:rPr>
        <w:t>与应用</w:t>
      </w:r>
    </w:p>
    <w:p w14:paraId="06F470A6">
      <w:pPr>
        <w:pStyle w:val="23"/>
        <w:numPr>
          <w:ilvl w:val="0"/>
          <w:numId w:val="0"/>
        </w:numPr>
        <w:tabs>
          <w:tab w:val="left" w:pos="0"/>
          <w:tab w:val="clear" w:pos="420"/>
        </w:tabs>
        <w:ind w:firstLine="640" w:firstLineChars="200"/>
        <w:rPr>
          <w:b/>
          <w:bCs w:val="0"/>
          <w:color w:val="000000" w:themeColor="text1"/>
          <w14:textFill>
            <w14:solidFill>
              <w14:schemeClr w14:val="tx1"/>
            </w14:solidFill>
          </w14:textFill>
        </w:rPr>
      </w:pPr>
      <w:r>
        <w:rPr>
          <w:bCs w:val="0"/>
          <w:color w:val="000000" w:themeColor="text1"/>
          <w:kern w:val="2"/>
          <w:szCs w:val="24"/>
          <w14:textFill>
            <w14:solidFill>
              <w14:schemeClr w14:val="tx1"/>
            </w14:solidFill>
          </w14:textFill>
        </w:rPr>
        <w:t>面向类人外观、双腿行走</w:t>
      </w:r>
      <w:r>
        <w:rPr>
          <w:rFonts w:hint="eastAsia"/>
          <w:bCs w:val="0"/>
          <w:color w:val="000000" w:themeColor="text1"/>
          <w:kern w:val="2"/>
          <w:szCs w:val="24"/>
          <w14:textFill>
            <w14:solidFill>
              <w14:schemeClr w14:val="tx1"/>
            </w14:solidFill>
          </w14:textFill>
        </w:rPr>
        <w:t>、头部总成</w:t>
      </w:r>
      <w:r>
        <w:rPr>
          <w:bCs w:val="0"/>
          <w:color w:val="000000" w:themeColor="text1"/>
          <w:kern w:val="2"/>
          <w:szCs w:val="24"/>
          <w14:textFill>
            <w14:solidFill>
              <w14:schemeClr w14:val="tx1"/>
            </w14:solidFill>
          </w14:textFill>
        </w:rPr>
        <w:t>和双臂灵巧操作等基本形态功能，建立人形机器人基础软硬件架构，打造“公版”通用平台，</w:t>
      </w:r>
      <w:r>
        <w:rPr>
          <w:rFonts w:hint="eastAsia"/>
          <w:bCs w:val="0"/>
          <w:color w:val="000000" w:themeColor="text1"/>
          <w:kern w:val="2"/>
          <w:szCs w:val="24"/>
          <w14:textFill>
            <w14:solidFill>
              <w14:schemeClr w14:val="tx1"/>
            </w14:solidFill>
          </w14:textFill>
        </w:rPr>
        <w:t>研制</w:t>
      </w:r>
      <w:r>
        <w:rPr>
          <w:bCs w:val="0"/>
          <w:color w:val="000000" w:themeColor="text1"/>
          <w:kern w:val="2"/>
          <w:szCs w:val="24"/>
          <w14:textFill>
            <w14:solidFill>
              <w14:schemeClr w14:val="tx1"/>
            </w14:solidFill>
          </w14:textFill>
        </w:rPr>
        <w:t>开发全尺寸人形机器人整机，支持不同场景需求下的结构改造、算法优化以及特定能力强化。在工业领域，支持</w:t>
      </w:r>
      <w:r>
        <w:rPr>
          <w:rFonts w:hint="eastAsia"/>
          <w:bCs w:val="0"/>
          <w:color w:val="000000" w:themeColor="text1"/>
          <w:kern w:val="2"/>
          <w:szCs w:val="24"/>
          <w14:textFill>
            <w14:solidFill>
              <w14:schemeClr w14:val="tx1"/>
            </w14:solidFill>
          </w14:textFill>
        </w:rPr>
        <w:t>研制</w:t>
      </w:r>
      <w:r>
        <w:rPr>
          <w:bCs w:val="0"/>
          <w:color w:val="000000" w:themeColor="text1"/>
          <w:kern w:val="2"/>
          <w:szCs w:val="24"/>
          <w14:textFill>
            <w14:solidFill>
              <w14:schemeClr w14:val="tx1"/>
            </w14:solidFill>
          </w14:textFill>
        </w:rPr>
        <w:t>开发高精度型具身智能整机，强化双臂双手精细操作、工件鲁棒识别、轨迹智能规划等上肢作业能力。在服务领域，支持</w:t>
      </w:r>
      <w:r>
        <w:rPr>
          <w:rFonts w:hint="eastAsia"/>
          <w:bCs w:val="0"/>
          <w:color w:val="000000" w:themeColor="text1"/>
          <w:kern w:val="2"/>
          <w:szCs w:val="24"/>
          <w14:textFill>
            <w14:solidFill>
              <w14:schemeClr w14:val="tx1"/>
            </w14:solidFill>
          </w14:textFill>
        </w:rPr>
        <w:t>研制</w:t>
      </w:r>
      <w:r>
        <w:rPr>
          <w:bCs w:val="0"/>
          <w:color w:val="000000" w:themeColor="text1"/>
          <w:kern w:val="2"/>
          <w:szCs w:val="24"/>
          <w14:textFill>
            <w14:solidFill>
              <w14:schemeClr w14:val="tx1"/>
            </w14:solidFill>
          </w14:textFill>
        </w:rPr>
        <w:t>开发低成本交互型具身智能整机，强化人类生活环境适应能力、多模态人机交互能力。在特种领域，支持</w:t>
      </w:r>
      <w:r>
        <w:rPr>
          <w:rFonts w:hint="eastAsia"/>
          <w:bCs w:val="0"/>
          <w:color w:val="000000" w:themeColor="text1"/>
          <w:kern w:val="2"/>
          <w:szCs w:val="24"/>
          <w14:textFill>
            <w14:solidFill>
              <w14:schemeClr w14:val="tx1"/>
            </w14:solidFill>
          </w14:textFill>
        </w:rPr>
        <w:t>研制</w:t>
      </w:r>
      <w:r>
        <w:rPr>
          <w:bCs w:val="0"/>
          <w:color w:val="000000" w:themeColor="text1"/>
          <w:kern w:val="2"/>
          <w:szCs w:val="24"/>
          <w14:textFill>
            <w14:solidFill>
              <w14:schemeClr w14:val="tx1"/>
            </w14:solidFill>
          </w14:textFill>
        </w:rPr>
        <w:t>开发高可靠型具身智能整机，强化恶劣环境生存、复杂地形适应、外力冲击防护等能力。</w:t>
      </w:r>
    </w:p>
    <w:p w14:paraId="64196C61">
      <w:pPr>
        <w:pStyle w:val="23"/>
        <w:numPr>
          <w:ilvl w:val="0"/>
          <w:numId w:val="0"/>
        </w:numPr>
        <w:tabs>
          <w:tab w:val="left" w:pos="0"/>
          <w:tab w:val="clear" w:pos="420"/>
        </w:tabs>
        <w:ind w:firstLine="643" w:firstLineChars="200"/>
        <w:rPr>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2</w:t>
      </w:r>
      <w:r>
        <w:rPr>
          <w:b/>
          <w:bCs w:val="0"/>
          <w:color w:val="000000" w:themeColor="text1"/>
          <w14:textFill>
            <w14:solidFill>
              <w14:schemeClr w14:val="tx1"/>
            </w14:solidFill>
          </w14:textFill>
        </w:rPr>
        <w:t>：智能机器人深度智能与自主协同关键技术与应用</w:t>
      </w:r>
    </w:p>
    <w:p w14:paraId="7D9F0B2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聚焦智能机器人深度智能</w:t>
      </w:r>
      <w:r>
        <w:rPr>
          <w:rFonts w:hint="eastAsia" w:cs="Times New Roman"/>
          <w:color w:val="000000" w:themeColor="text1"/>
          <w14:textFill>
            <w14:solidFill>
              <w14:schemeClr w14:val="tx1"/>
            </w14:solidFill>
          </w14:textFill>
        </w:rPr>
        <w:t xml:space="preserve"> ·</w:t>
      </w:r>
      <w:r>
        <w:rPr>
          <w:rFonts w:cs="Times New Roman"/>
          <w:color w:val="000000" w:themeColor="text1"/>
          <w14:textFill>
            <w14:solidFill>
              <w14:schemeClr w14:val="tx1"/>
            </w14:solidFill>
          </w14:textFill>
        </w:rPr>
        <w:t>驱动、高效以虚驭实、泛在敏捷操作及多元感知交互发展趋势，突破高动态响应控制、多模态感知融合、复杂任务自主决策、长续航能源管理与高可靠性设计等关键技术难点，实现具备超强环境适应性、高精度操作能力、自主学习与协同作业能力，以及高效能组网与集群协作能力的智能机器人产品，推动国产化替代和标准化体系建设，加速技术从实验室向工业制造、医疗手术、服务机器人、特种机器人等重大应用场景落地转化。</w:t>
      </w:r>
    </w:p>
    <w:p w14:paraId="685F6682">
      <w:pPr>
        <w:pStyle w:val="23"/>
        <w:numPr>
          <w:ilvl w:val="0"/>
          <w:numId w:val="0"/>
        </w:numPr>
        <w:tabs>
          <w:tab w:val="left" w:pos="0"/>
          <w:tab w:val="clear" w:pos="420"/>
        </w:tabs>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指南3：末端执行器智能感知关键技术研发及应用</w:t>
      </w:r>
    </w:p>
    <w:p w14:paraId="3C7BA616">
      <w:pPr>
        <w:ind w:firstLine="640"/>
        <w:rPr>
          <w:b/>
          <w:color w:val="000000" w:themeColor="text1"/>
          <w14:textFill>
            <w14:solidFill>
              <w14:schemeClr w14:val="tx1"/>
            </w14:solidFill>
          </w14:textFill>
        </w:rPr>
      </w:pPr>
      <w:r>
        <w:rPr>
          <w:rFonts w:cs="Times New Roman"/>
          <w:color w:val="000000" w:themeColor="text1"/>
          <w14:textFill>
            <w14:solidFill>
              <w14:schemeClr w14:val="tx1"/>
            </w14:solidFill>
          </w14:textFill>
        </w:rPr>
        <w:t>聚焦末端执行器高自由度、高负载能力、轻量化、精准力控及长寿命等核心指标，探索使用新型复合材料、形状记忆合金、超弹性材料等先进材料，突破智能感知、自适应控制算法及高自由度设计等关键核心技术，集成力传感器、触觉传感器、视觉传感器等更多传感器，优化内置微型驱动器，实现末端执行器感知能力、操作精密度以及智能化水平的提升，更好地服务于工业自动化、医疗、家庭服务等广泛领域。</w:t>
      </w:r>
    </w:p>
    <w:p w14:paraId="7D228312">
      <w:pPr>
        <w:pStyle w:val="23"/>
        <w:numPr>
          <w:ilvl w:val="0"/>
          <w:numId w:val="0"/>
        </w:numPr>
        <w:tabs>
          <w:tab w:val="left" w:pos="0"/>
          <w:tab w:val="clear" w:pos="420"/>
        </w:tabs>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指南4：高精度减速器关键技术与应用</w:t>
      </w:r>
    </w:p>
    <w:p w14:paraId="692B7505">
      <w:pPr>
        <w:ind w:firstLine="640"/>
        <w:rPr>
          <w:b/>
          <w:color w:val="000000" w:themeColor="text1"/>
          <w14:textFill>
            <w14:solidFill>
              <w14:schemeClr w14:val="tx1"/>
            </w14:solidFill>
          </w14:textFill>
        </w:rPr>
      </w:pPr>
      <w:r>
        <w:rPr>
          <w:rFonts w:cs="Times New Roman"/>
          <w:color w:val="000000" w:themeColor="text1"/>
          <w14:textFill>
            <w14:solidFill>
              <w14:schemeClr w14:val="tx1"/>
            </w14:solidFill>
          </w14:textFill>
        </w:rPr>
        <w:t>重点发展RV减速器、谐波减速器、行星减速器等精密减速器产品，研发先进设计技术和精密加工工艺，有效提高减速器传动精度、扭转刚性、使用寿命等性能，降低噪音，提升产品可靠性和稳定性，实现规模生产。</w:t>
      </w:r>
    </w:p>
    <w:p w14:paraId="28A07F10">
      <w:pPr>
        <w:pStyle w:val="23"/>
        <w:numPr>
          <w:ilvl w:val="0"/>
          <w:numId w:val="0"/>
        </w:numPr>
        <w:tabs>
          <w:tab w:val="left" w:pos="0"/>
          <w:tab w:val="clear" w:pos="420"/>
        </w:tabs>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5</w:t>
      </w:r>
      <w:r>
        <w:rPr>
          <w:b/>
          <w:bCs w:val="0"/>
          <w:color w:val="000000" w:themeColor="text1"/>
          <w14:textFill>
            <w14:solidFill>
              <w14:schemeClr w14:val="tx1"/>
            </w14:solidFill>
          </w14:textFill>
        </w:rPr>
        <w:t>：机器人行星滚柱丝杠关键技术优化与应用</w:t>
      </w:r>
    </w:p>
    <w:p w14:paraId="3EEC5D5F">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机器人行星滚柱丝杠高承载能力、高精度定位、高传动效率及高可靠性等关键性能需求，开展高强度合金钢或特殊涂层技术研发、滚柱与丝杠接触面设计优化、智能润滑系统开发及动态补偿算法创新等，突破反向式行星滚柱丝杠制造技术、材料匹配、热处理与加工制造等关键技术，实现传动效率、精度等级、超高负载、摩擦力矩、额定寿命等性能提升，满足机器人高精度定位与复杂运动的需求，解决国产智能机器人关节部件依赖进口的“卡脖子”问题，助力机器人等高端装备制造自主可控。</w:t>
      </w:r>
    </w:p>
    <w:p w14:paraId="4DB63969">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br w:type="page"/>
      </w:r>
    </w:p>
    <w:p w14:paraId="7218CFAC">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47" w:name="_Toc65685778"/>
      <w:r>
        <w:rPr>
          <w:rFonts w:hint="default" w:ascii="Times New Roman" w:hAnsi="Times New Roman"/>
          <w:color w:val="000000" w:themeColor="text1"/>
          <w14:textFill>
            <w14:solidFill>
              <w14:schemeClr w14:val="tx1"/>
            </w14:solidFill>
          </w14:textFill>
        </w:rPr>
        <w:t>安全应急装备产业链</w:t>
      </w:r>
      <w:bookmarkEnd w:id="45"/>
      <w:bookmarkEnd w:id="47"/>
    </w:p>
    <w:p w14:paraId="47CDC8D5">
      <w:pPr>
        <w:ind w:firstLine="640"/>
        <w:rPr>
          <w:color w:val="000000" w:themeColor="text1"/>
          <w14:textFill>
            <w14:solidFill>
              <w14:schemeClr w14:val="tx1"/>
            </w14:solidFill>
          </w14:textFill>
        </w:rPr>
      </w:pPr>
      <w:r>
        <w:rPr>
          <w:color w:val="000000" w:themeColor="text1"/>
          <w14:textFill>
            <w14:solidFill>
              <w14:schemeClr w14:val="tx1"/>
            </w14:solidFill>
          </w14:textFill>
        </w:rPr>
        <w:t>安全应急装备产业链是为提升重点行业领域本质安全水平、保障各类突发事件需要，专业从事安全预警防范和应急处置装备制造、系统集成及相关服务的产业。安全应急装备产业分为安全预警防范装备、应急处置装备和安全应急服务等3大类。</w:t>
      </w:r>
    </w:p>
    <w:p w14:paraId="60EC3D18">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本次“指南”主要聚焦于安全应急装备产业链应急处置装备、防护装备等领域。具体如下：</w:t>
      </w:r>
    </w:p>
    <w:p w14:paraId="4AD55482">
      <w:pPr>
        <w:pStyle w:val="23"/>
        <w:keepNext/>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指南1：以应用为导向的应急处置装备产品及应用</w:t>
      </w:r>
    </w:p>
    <w:p w14:paraId="4493666A">
      <w:pPr>
        <w:ind w:firstLine="640"/>
        <w:rPr>
          <w:color w:val="000000" w:themeColor="text1"/>
          <w14:textFill>
            <w14:solidFill>
              <w14:schemeClr w14:val="tx1"/>
            </w14:solidFill>
          </w14:textFill>
        </w:rPr>
      </w:pPr>
      <w:r>
        <w:rPr>
          <w:color w:val="000000" w:themeColor="text1"/>
          <w14:textFill>
            <w14:solidFill>
              <w14:schemeClr w14:val="tx1"/>
            </w14:solidFill>
          </w14:textFill>
        </w:rPr>
        <w:t>以防灾减灾救灾自然灾害防治，面向各类工业制造领域有毒有害气体、易燃易爆危化</w:t>
      </w:r>
      <w:r>
        <w:rPr>
          <w:rFonts w:hint="eastAsia"/>
          <w:color w:val="000000" w:themeColor="text1"/>
          <w14:textFill>
            <w14:solidFill>
              <w14:schemeClr w14:val="tx1"/>
            </w14:solidFill>
          </w14:textFill>
        </w:rPr>
        <w:t>泄漏</w:t>
      </w:r>
      <w:r>
        <w:rPr>
          <w:color w:val="000000" w:themeColor="text1"/>
          <w14:textFill>
            <w14:solidFill>
              <w14:schemeClr w14:val="tx1"/>
            </w14:solidFill>
          </w14:textFill>
        </w:rPr>
        <w:t>及火灾处置救援，水上海上应急救援、道路交通事故救援、应急通信、社区家庭急救等各类应用场景及需求作为出发点和落脚点，</w:t>
      </w:r>
      <w:r>
        <w:rPr>
          <w:rFonts w:hint="eastAsia"/>
          <w:color w:val="000000" w:themeColor="text1"/>
          <w14:textFill>
            <w14:solidFill>
              <w14:schemeClr w14:val="tx1"/>
            </w14:solidFill>
          </w14:textFill>
        </w:rPr>
        <w:t>研发生产</w:t>
      </w:r>
      <w:r>
        <w:rPr>
          <w:color w:val="000000" w:themeColor="text1"/>
          <w14:textFill>
            <w14:solidFill>
              <w14:schemeClr w14:val="tx1"/>
            </w14:solidFill>
          </w14:textFill>
        </w:rPr>
        <w:t>功能和性能可靠性、稳定性及复杂环境适应性突出的应急处置装备产品和关键核心部件。</w:t>
      </w:r>
    </w:p>
    <w:p w14:paraId="33EC44A0">
      <w:pPr>
        <w:pStyle w:val="23"/>
        <w:keepNext/>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指南2：以数字化智能化为牵引的防护装备产品及应用</w:t>
      </w:r>
    </w:p>
    <w:p w14:paraId="7949EE40">
      <w:pPr>
        <w:spacing w:line="520" w:lineRule="exact"/>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聚焦</w:t>
      </w:r>
      <w:r>
        <w:rPr>
          <w:color w:val="000000" w:themeColor="text1"/>
          <w14:textFill>
            <w14:solidFill>
              <w14:schemeClr w14:val="tx1"/>
            </w14:solidFill>
          </w14:textFill>
        </w:rPr>
        <w:t>综合应用多学科技术</w:t>
      </w:r>
      <w:r>
        <w:rPr>
          <w:rFonts w:hint="eastAsia"/>
          <w:color w:val="000000" w:themeColor="text1"/>
          <w14:textFill>
            <w14:solidFill>
              <w14:schemeClr w14:val="tx1"/>
            </w14:solidFill>
          </w14:textFill>
        </w:rPr>
        <w:t>实现技术融合</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开发用于</w:t>
      </w:r>
      <w:r>
        <w:rPr>
          <w:color w:val="000000" w:themeColor="text1"/>
          <w14:textFill>
            <w14:solidFill>
              <w14:schemeClr w14:val="tx1"/>
            </w14:solidFill>
          </w14:textFill>
        </w:rPr>
        <w:t>监测预警防范地震、极端天气等自然灾害及引起的次生灾害，工业制造领域安全生产预警防范，海上船舶、设施防撞预警、房屋市政设施、道路交通等巡查巡检及监测防护体系，不同场景的火灾火情探测防范等预警防范装备产品；以</w:t>
      </w:r>
      <w:r>
        <w:rPr>
          <w:rFonts w:hint="eastAsia"/>
          <w:color w:val="000000" w:themeColor="text1"/>
          <w14:textFill>
            <w14:solidFill>
              <w14:schemeClr w14:val="tx1"/>
            </w14:solidFill>
          </w14:textFill>
        </w:rPr>
        <w:t>提高</w:t>
      </w:r>
      <w:r>
        <w:rPr>
          <w:color w:val="000000" w:themeColor="text1"/>
          <w14:textFill>
            <w14:solidFill>
              <w14:schemeClr w14:val="tx1"/>
            </w14:solidFill>
          </w14:textFill>
        </w:rPr>
        <w:t>人员个体防护和汽车部件及各类设施设备防护安全性</w:t>
      </w:r>
      <w:r>
        <w:rPr>
          <w:rFonts w:hint="eastAsia"/>
          <w:color w:val="000000" w:themeColor="text1"/>
          <w14:textFill>
            <w14:solidFill>
              <w14:schemeClr w14:val="tx1"/>
            </w14:solidFill>
          </w14:textFill>
        </w:rPr>
        <w:t>为目标</w:t>
      </w:r>
      <w:r>
        <w:rPr>
          <w:color w:val="000000" w:themeColor="text1"/>
          <w14:textFill>
            <w14:solidFill>
              <w14:schemeClr w14:val="tx1"/>
            </w14:solidFill>
          </w14:textFill>
        </w:rPr>
        <w:t>的装备产品（零部件）。重点提升</w:t>
      </w:r>
      <w:r>
        <w:rPr>
          <w:rFonts w:hint="eastAsia"/>
          <w:color w:val="000000" w:themeColor="text1"/>
          <w14:textFill>
            <w14:solidFill>
              <w14:schemeClr w14:val="tx1"/>
            </w14:solidFill>
          </w14:textFill>
        </w:rPr>
        <w:t>基于</w:t>
      </w:r>
      <w:r>
        <w:rPr>
          <w:color w:val="000000" w:themeColor="text1"/>
          <w14:textFill>
            <w14:solidFill>
              <w14:schemeClr w14:val="tx1"/>
            </w14:solidFill>
          </w14:textFill>
        </w:rPr>
        <w:t>人工智能、数字孪生、5G等新一代信息技术赋能的数字化智能化预警防范装备产品（系统）及核心技术装备产品</w:t>
      </w:r>
      <w:r>
        <w:rPr>
          <w:rFonts w:hint="eastAsia"/>
          <w:color w:val="000000" w:themeColor="text1"/>
          <w14:textFill>
            <w14:solidFill>
              <w14:schemeClr w14:val="tx1"/>
            </w14:solidFill>
          </w14:textFill>
        </w:rPr>
        <w:t>的性能。</w:t>
      </w:r>
    </w:p>
    <w:p w14:paraId="1B1CFE17">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48" w:name="_Toc945674791"/>
      <w:bookmarkStart w:id="49" w:name="_Toc154593605"/>
      <w:r>
        <w:rPr>
          <w:rFonts w:hint="default" w:ascii="Times New Roman" w:hAnsi="Times New Roman"/>
          <w:color w:val="000000" w:themeColor="text1"/>
          <w14:textFill>
            <w14:solidFill>
              <w14:schemeClr w14:val="tx1"/>
            </w14:solidFill>
          </w14:textFill>
        </w:rPr>
        <w:t>工业母机产业链</w:t>
      </w:r>
      <w:bookmarkEnd w:id="48"/>
      <w:bookmarkEnd w:id="49"/>
    </w:p>
    <w:p w14:paraId="1DC3F5A4">
      <w:pPr>
        <w:keepNext/>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工业母机是装备制造业的核心基石。工业母机产业链上游涵盖专用材料、关键功能部件以及数控系统等核心单元；中游为整机制造；下游服务航空航天、能源装备、电子信息、医疗器械等重点领域的精密制造需求。</w:t>
      </w:r>
    </w:p>
    <w:p w14:paraId="06B5F933">
      <w:pPr>
        <w:keepNext/>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w:t>
      </w:r>
      <w:r>
        <w:rPr>
          <w:rFonts w:hint="eastAsia" w:cs="Times New Roman"/>
          <w:color w:val="000000" w:themeColor="text1"/>
          <w14:textFill>
            <w14:solidFill>
              <w14:schemeClr w14:val="tx1"/>
            </w14:solidFill>
          </w14:textFill>
        </w:rPr>
        <w:t>主要</w:t>
      </w:r>
      <w:r>
        <w:rPr>
          <w:rFonts w:cs="Times New Roman"/>
          <w:color w:val="000000" w:themeColor="text1"/>
          <w14:textFill>
            <w14:solidFill>
              <w14:schemeClr w14:val="tx1"/>
            </w14:solidFill>
          </w14:textFill>
        </w:rPr>
        <w:t>聚焦工业母机产业链整机制造、关键功能部件等领域，其中整机制造包括高性能数控车床、铣床、磨床等减材制造装备，高性能压铸机、冲压机、塑机等等材制造装备以及工业级3D打印机等增材制造装备等；关键功能部件包括电主轴、滚珠丝杠、直线导轨、伺服电机，底座、立柱等其他大型、超大型铸件或异形件，以及关键基础件等。具体如下：</w:t>
      </w:r>
    </w:p>
    <w:p w14:paraId="10A1CB88">
      <w:pPr>
        <w:pStyle w:val="22"/>
        <w:ind w:left="0" w:leftChars="0" w:firstLine="640"/>
        <w:rPr>
          <w:color w:val="000000" w:themeColor="text1"/>
          <w14:textFill>
            <w14:solidFill>
              <w14:schemeClr w14:val="tx1"/>
            </w14:solidFill>
          </w14:textFill>
        </w:rPr>
      </w:pPr>
      <w:r>
        <w:rPr>
          <w:color w:val="000000" w:themeColor="text1"/>
          <w14:textFill>
            <w14:solidFill>
              <w14:schemeClr w14:val="tx1"/>
            </w14:solidFill>
          </w14:textFill>
        </w:rPr>
        <w:t>整机制造</w:t>
      </w:r>
    </w:p>
    <w:p w14:paraId="28B5E5A6">
      <w:pPr>
        <w:pStyle w:val="23"/>
        <w:keepNext/>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指南1：高性能减材制造装备关键技术优化及应用</w:t>
      </w:r>
    </w:p>
    <w:p w14:paraId="3BA44883">
      <w:pPr>
        <w:keepNext/>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高性能数控车床、铣床、磨床等减材制造装备精密化、智能化与绿色化等发展需求，通过集成直线电机驱动系统、高速电主轴单元和自适应数控系统，进一步突破多轴联动精度补偿、动态切削力控制、智能刀具路径规划等核心技术，重点开发纳米级热变形补偿模块、刀具磨损在线监测系统及加工误差闭环修正等技术，显著提升装备的加工精度、表面质量及能效水平，实现航空航天、医疗器械等领域复杂构件加工自主可控。</w:t>
      </w:r>
    </w:p>
    <w:p w14:paraId="53DF5F9F">
      <w:pPr>
        <w:pStyle w:val="23"/>
        <w:keepNext/>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指南2：高性能等材制造装备关键技术优化及应用</w:t>
      </w:r>
    </w:p>
    <w:p w14:paraId="23CDECD5">
      <w:pPr>
        <w:keepNext/>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聚焦高性能压铸机、冲压机、塑机等等材制造装备精密化、复合化、数字化、绿色化、</w:t>
      </w:r>
      <w:r>
        <w:rPr>
          <w:rFonts w:hint="eastAsia" w:cs="Times New Roman"/>
          <w:color w:val="000000" w:themeColor="text1"/>
          <w14:textFill>
            <w14:solidFill>
              <w14:schemeClr w14:val="tx1"/>
            </w14:solidFill>
          </w14:textFill>
        </w:rPr>
        <w:t>自动化</w:t>
      </w:r>
      <w:r>
        <w:rPr>
          <w:rFonts w:cs="Times New Roman"/>
          <w:color w:val="000000" w:themeColor="text1"/>
          <w14:textFill>
            <w14:solidFill>
              <w14:schemeClr w14:val="tx1"/>
            </w14:solidFill>
          </w14:textFill>
        </w:rPr>
        <w:t>等发展需求，引进高精度伺服驱动装置、液压集成系统、智能数控系统等，突破双飞轮动力驱动装置机构创新设计、过载保护机构、主轴内置式润滑及热补偿系统等关键技术，实现装备高精度、高刚性、高效率、智能化等性能提升，助推国产高端机床在航空航天、医疗器械等领域的规模化应用。</w:t>
      </w:r>
    </w:p>
    <w:p w14:paraId="7A49E3A4">
      <w:pPr>
        <w:pStyle w:val="23"/>
        <w:keepNext/>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指南3：高性能工业级3D打印机自主化制造</w:t>
      </w:r>
    </w:p>
    <w:p w14:paraId="34C7DE19">
      <w:pPr>
        <w:keepNext/>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工业级3D打印机多材料融合、高精度制造、智能化等性能特点。重点研发亚微米级多材料打印头、超高速光固化系统，提升成型精度和速度；攻克金属、陶瓷、聚合物梯度复合成形技术，突破极端环境打印瓶颈；研制可重构多能场复合打印装备，搭载封闭式精密环境舱体；开发自支撑智能材料体系，建立多材料工艺数据库；部署AI工艺优化引擎与多物理场数字孪生，实现云边协同智控；创新粉末循环利用和能量回收技术，建立废料无害化处理闭环。</w:t>
      </w:r>
    </w:p>
    <w:p w14:paraId="1FB8FE96">
      <w:pPr>
        <w:pStyle w:val="22"/>
        <w:ind w:left="0" w:leftChars="0" w:firstLine="640"/>
        <w:rPr>
          <w:color w:val="000000" w:themeColor="text1"/>
          <w14:textFill>
            <w14:solidFill>
              <w14:schemeClr w14:val="tx1"/>
            </w14:solidFill>
          </w14:textFill>
        </w:rPr>
      </w:pPr>
      <w:r>
        <w:rPr>
          <w:color w:val="000000" w:themeColor="text1"/>
          <w14:textFill>
            <w14:solidFill>
              <w14:schemeClr w14:val="tx1"/>
            </w14:solidFill>
          </w14:textFill>
        </w:rPr>
        <w:t>关键功能部件</w:t>
      </w:r>
    </w:p>
    <w:p w14:paraId="353EE59D">
      <w:pPr>
        <w:pStyle w:val="23"/>
        <w:keepNext/>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指南1：电主轴、滚珠丝杠、直线导轨研发及制造</w:t>
      </w:r>
    </w:p>
    <w:p w14:paraId="56A15B88">
      <w:pPr>
        <w:keepNext/>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高档数控机床电主轴、高精度滚珠丝杠、高动态直线导轨等关键部件高可靠性与精度保持性等性能特点。针对电主轴，深入开展高速精密轴承动态设计、智能温控补偿及新型复合材料转子研究，增强其在高转速工况下的精度稳定性；对于滚珠丝杠，着力优化精密磨削工艺与误差补偿技术；针对直线导轨，提升滚动体表面处理与动态预紧调节能力。开发基于数字孪生的虚拟装配系统，构建涵盖材料特性、制造工艺与服役性能的全流程数据平台；建立行业级动态精度检测认证平台，集成在线监测装置，实现温度、振动等参数的实时反馈与预警，以此全面提升国产核心部件的性能。</w:t>
      </w:r>
    </w:p>
    <w:p w14:paraId="7E582BD8">
      <w:pPr>
        <w:tabs>
          <w:tab w:val="left" w:pos="420"/>
        </w:tabs>
        <w:ind w:firstLine="643"/>
        <w:outlineLvl w:val="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指南2：高性能伺服系统关键制造技术及应用</w:t>
      </w:r>
    </w:p>
    <w:p w14:paraId="71F815F2">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数控机床伺服系统响应速度、负载刚度、能量转换效率、精密度、轻量化、稳定性等关键性能，创新液压传动领域静压支撑结构设计、柔性润滑系统与特种合金动态元件、PEEK高分子涂层与耐高温材料复合工艺、大通径动态平衡轴配油等技术，实现液压伺服系统高效率、冲击载荷承载能力、部件耐磨性、容积效率等性能提升；优化电预塑伺服系统低速大扭矩直驱电机和内置行星减速一体机方案，突破伺服电机矢量控制算法、非线性热膨胀补偿设计等关键技术，实现电动溶胶系统全闭环控制、高动态响应速度、高效率、强带载能力等性能提升，推动高性能伺服系统在薄壁成型高速机、超大型注塑机、医疗机等专业机型领域的广泛应用。</w:t>
      </w:r>
    </w:p>
    <w:p w14:paraId="2D0EF936">
      <w:pPr>
        <w:pStyle w:val="23"/>
        <w:keepNext/>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指南3：底座、立柱等其他大型、超大型铸件或异形件制造</w:t>
      </w:r>
    </w:p>
    <w:p w14:paraId="7AAA5793">
      <w:pPr>
        <w:keepNext/>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底座、立柱等机床用大型及超大型铸件高精度、高稳定性与轻量化等核心特点。重点研发低应力高阻尼新型铸造材料，优化成分与微观结构，降低残余应力，增强阻尼特性，提升稳定性；突破梯度复合铸造工艺，实现材料梯度分布；攻克非对称结构成型工艺，解决异形件难题；利用多物理场耦合仿真和智能控形技术，优化成形能力，降低加工余量，提高定制生产效率；构建全尺寸三维检测体系，及时发现内部缺陷；建立时效处理智能调控体系，精准控制时效工艺，增强服役性能预判能力；运用仿生学拓扑优化与多目标算法设计，实现铸件轻量化；推广</w:t>
      </w:r>
      <w:r>
        <w:rPr>
          <w:rFonts w:hint="eastAsia" w:cs="Times New Roman"/>
          <w:color w:val="000000" w:themeColor="text1"/>
          <w14:textFill>
            <w14:solidFill>
              <w14:schemeClr w14:val="tx1"/>
            </w14:solidFill>
          </w14:textFill>
        </w:rPr>
        <w:t>使用高端工业炉、运用</w:t>
      </w:r>
      <w:r>
        <w:rPr>
          <w:rFonts w:cs="Times New Roman"/>
          <w:color w:val="000000" w:themeColor="text1"/>
          <w14:textFill>
            <w14:solidFill>
              <w14:schemeClr w14:val="tx1"/>
            </w14:solidFill>
          </w14:textFill>
        </w:rPr>
        <w:t>低碳熔炼技术，开展余热利用，采用缺陷修复技术，降低能耗与废品率。</w:t>
      </w:r>
    </w:p>
    <w:p w14:paraId="231CBED9">
      <w:pPr>
        <w:pStyle w:val="25"/>
        <w:numPr>
          <w:ilvl w:val="0"/>
          <w:numId w:val="1"/>
        </w:numPr>
        <w:ind w:firstLine="643"/>
        <w:rPr>
          <w:rFonts w:hint="default" w:ascii="Times New Roman" w:hAnsi="Times New Roman"/>
          <w:color w:val="000000" w:themeColor="text1"/>
          <w14:textFill>
            <w14:solidFill>
              <w14:schemeClr w14:val="tx1"/>
            </w14:solidFill>
          </w14:textFill>
        </w:rPr>
        <w:sectPr>
          <w:pgSz w:w="11906" w:h="16838"/>
          <w:pgMar w:top="2098" w:right="1474" w:bottom="1814" w:left="1587" w:header="851" w:footer="992" w:gutter="0"/>
          <w:cols w:space="0" w:num="1"/>
          <w:docGrid w:type="lines" w:linePitch="312" w:charSpace="0"/>
        </w:sectPr>
      </w:pPr>
    </w:p>
    <w:p w14:paraId="2D60023E">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50" w:name="_Toc1790019316"/>
      <w:bookmarkStart w:id="51" w:name="_Toc977769755"/>
      <w:r>
        <w:rPr>
          <w:rFonts w:hint="default" w:ascii="Times New Roman" w:hAnsi="Times New Roman"/>
          <w:color w:val="000000" w:themeColor="text1"/>
          <w14:textFill>
            <w14:solidFill>
              <w14:schemeClr w14:val="tx1"/>
            </w14:solidFill>
          </w14:textFill>
        </w:rPr>
        <w:t>智能家电产业链</w:t>
      </w:r>
      <w:bookmarkEnd w:id="50"/>
      <w:bookmarkEnd w:id="51"/>
    </w:p>
    <w:p w14:paraId="3D20FE01">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智能家电是将微处理器、传感器技术、网络通信技术引入家电设备后形成的家电产品，具有自动感知住宅空间状态、家电自身状态和家电服务状态，能够自动控制及接受住宅用户控制指令。智能家电产业链以技术驱动、政策扶持、生态整合为发展核心，上游依赖关键零部件与技术突破，中游聚焦产品智能化和场景化，下游通过多渠道直达用户。</w:t>
      </w:r>
    </w:p>
    <w:p w14:paraId="3A63B16F">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本次“指南”主要聚焦于智能家电产业链上游元器件、中游组件以及下游终端产品，包括变频双转子压缩机、智能空调、智能空气炸锅、无刷直流电机、智能厨电、清洁家电及空气净化家电等。具体如下：</w:t>
      </w:r>
    </w:p>
    <w:p w14:paraId="49D05D55">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指南1：变频双转子压缩机绿色化升级与应用</w:t>
      </w:r>
    </w:p>
    <w:p w14:paraId="66925E2C">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变频双转子压缩机高能效、低噪音、宽频域调节、耐高温、高表面硬度、高耐磨性等核心性能，重点突破双转子精密加工工艺优化、磁悬浮轴承技术集成、高频变频驱动算法开发及系统能效动态匹配技术；深化AI驱动的智能化制造与绿色低碳生产，围绕高可靠性、低振动、节能化等产品属性，实现家用空调、商用冷链、工业制冷设备等关键领域压缩机国产化；通过技术创新与产业链协同，推动其在智慧建筑、绿色交通、数据机房等领域规模化应用，突破国际技术垄断，降低进口依赖，构建自主可控的变频压缩机产业链。</w:t>
      </w:r>
    </w:p>
    <w:p w14:paraId="65280081">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指南2：智能语音空调智能应用</w:t>
      </w:r>
    </w:p>
    <w:p w14:paraId="0C580DD6">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家用智能语言空调的高效冷暖、超低噪音、精准控温、智能语音交互、健康空气管理等核心性能，重点突破AI动态温控算法、多模态交互技术、环保冷媒及空气净化集成系统；深化AI驱动的智能化生产与绿色循环体系，围绕高能效、场景适配性、用户健康等产品属性，实现家庭空气环境智能语音控制；通过技术创新与产业链协同，推动其在智能家居、商业建筑、医疗洁净等领域的规模化应用，促进国产智能家电高端智能转型升级。</w:t>
      </w:r>
    </w:p>
    <w:p w14:paraId="6EF529C6">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指南3：智能空气炸锅规模化应用</w:t>
      </w:r>
    </w:p>
    <w:p w14:paraId="10EC2D2A">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智能空气炸锅的高效烹饪、低油脂率、精准控温、智能交互及健康安全等核心性能，重点突破AI驱动烹饪算法、3D热风循环技术、纳米陶瓷防粘涂层及绿色制造；深化智能化生产与低碳循环体系，围绕健康减油、场景适配、用户便捷等产品属性，实现家庭烹饪智能化、国产化；通过技术创新与产业链协同，推动其在健康饮食、快餐连锁、户外场景等领域规模化应用，突破国际技术壁垒，构建自主可控的智能厨电产业生态。</w:t>
      </w:r>
    </w:p>
    <w:p w14:paraId="42DC82F1">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指南4：高性能无刷直流电机关键技术研究与应用</w:t>
      </w:r>
    </w:p>
    <w:p w14:paraId="159A9408">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无刷直流电机高能效、低噪音、高功率密度、宽调速范围、长寿命及环境适应性等核心性能，重点突破高性能稀土永磁材料优化、高精度转子动平衡工艺、智能驱动控制算法及轻量化结构设计；深化AI驱动的智能化制造与绿色低碳生产，围绕高可靠性、低成本化、场景泛用性等产品属性，实现工业机器人关节模组、无人机动力系统、智能家电变频模块等关键领域电机国产化；通过技术创新与产业链协同，推动其在智能制造、绿色交通、航空航天等领域规模化应用，突破国际技术壁垒，降低进口依赖。</w:t>
      </w:r>
    </w:p>
    <w:p w14:paraId="27739EA7">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指南5：多能源协同智能热泵技术研发与应用</w:t>
      </w:r>
    </w:p>
    <w:p w14:paraId="24D973CD">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智能家用热泵高能效、低噪音、智能化控制及环保性等核心性能，重点突破变频双级压缩、喷气增焓、AI负荷预测、多能源协同、仿生风道降噪及环保冷媒；深化全工况自适应技术与循环经济体系，围绕全气候适配、智能化、低碳化等产品属性，实现家庭供暖制冷国产化替代；通过技术创新与产业链协同，推动其在极寒地区、光伏能源协同等场景应用，实现家庭近零碳排放。</w:t>
      </w:r>
    </w:p>
    <w:p w14:paraId="604C95D7">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指南6：智能厨电互联互通与绿色节能场景化升级</w:t>
      </w:r>
    </w:p>
    <w:p w14:paraId="395703D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冰箱、油烟机、蒸烤机、净水器、水槽、橱柜等大型智能厨电产品的高能效、低噪音、精准控制、健康安全、材料耐久及智能化集成等核心性能，重点突破多模态AI交互系统开发、节能环保技术、模块化结构设计及全生命周期绿色制造；深化AI驱动的智能化生产与低碳循环体系，围绕高可靠性、场景适配性、用户健康等产品属性，实现厨房全场景智能化；通过技术创新与产业链协同，推动其在智能家居、健康饮食、绿色建筑等领域规模化应用，突破国际技术壁垒，降低进口依赖</w:t>
      </w:r>
    </w:p>
    <w:p w14:paraId="63FD6D11">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果汁机、饮水机、咖啡机等小型智能厨电产品的高效烹饪、低噪音、精准控温、健康安全及智能互联等核心性能，重点突破智能算法优化、模块化微型化设计、绿色材料与工艺；深化AI驱动的智能化生产与低碳循环体系，围绕高能效、场景适配性、用户健康等产品属性，实现智能厨房生态国产化；通过技术创新与产业链协同，推动其在家庭、商旅、健康管理等领域的规模化应用，突破国际技术壁垒。</w:t>
      </w:r>
    </w:p>
    <w:p w14:paraId="5E0CC3E0">
      <w:pPr>
        <w:pStyle w:val="23"/>
        <w:numPr>
          <w:ilvl w:val="0"/>
          <w:numId w:val="0"/>
        </w:numPr>
        <w:ind w:firstLine="643" w:firstLineChars="200"/>
        <w:rPr>
          <w:b/>
          <w:bCs w:val="0"/>
          <w:color w:val="000000" w:themeColor="text1"/>
          <w14:textFill>
            <w14:solidFill>
              <w14:schemeClr w14:val="tx1"/>
            </w14:solidFill>
          </w14:textFill>
        </w:rPr>
      </w:pPr>
      <w:r>
        <w:rPr>
          <w:b/>
          <w:color w:val="000000" w:themeColor="text1"/>
          <w14:textFill>
            <w14:solidFill>
              <w14:schemeClr w14:val="tx1"/>
            </w14:solidFill>
          </w14:textFill>
        </w:rPr>
        <w:t>指南7：智能清洁家电全屋协同应用</w:t>
      </w:r>
    </w:p>
    <w:p w14:paraId="5C3BA761">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吸尘器、净化器、洗衣机、洗地机、扫地机器人等智能清洁家电产品的高效清洁、低噪音、精准导航、健康安全及智能互联等核心性能，重点突破AI脏污识别、动态路径优化算法、绿色能效设计及自清洁系统开发；深化AI驱动的智能化生产与低碳循环体系，围绕高可靠性、场景适配性、用户健康等产品属性，实现家庭全流程清洁；通过技术创新与产业链协同，推动其在智能家居、商业服务、公共设施等领域规模化应用。</w:t>
      </w:r>
    </w:p>
    <w:p w14:paraId="61BD47A7">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指南8：智能空气净化家电关键技术研究及应用</w:t>
      </w:r>
    </w:p>
    <w:p w14:paraId="009C2D0C">
      <w:pPr>
        <w:ind w:firstLine="640"/>
        <w:rPr>
          <w:color w:val="000000" w:themeColor="text1"/>
          <w14:textFill>
            <w14:solidFill>
              <w14:schemeClr w14:val="tx1"/>
            </w14:solidFill>
          </w14:textFill>
        </w:rPr>
      </w:pPr>
      <w:r>
        <w:rPr>
          <w:color w:val="000000" w:themeColor="text1"/>
          <w14:textFill>
            <w14:solidFill>
              <w14:schemeClr w14:val="tx1"/>
            </w14:solidFill>
          </w14:textFill>
        </w:rPr>
        <w:t>聚焦智能空气净化家电产品的高效净化、低噪音、长效滤芯寿命、精准监测及智能互联等核心性能，重点突破多效复合过滤技术、AI动态风量调节算法、低功耗传感器集成及自清洁模块开发；深化AI驱动的智能化生产与绿色低碳体系，围绕健康安全、场景适配性、用户交互等产品属性，实现家庭、办公、车载等全场景净化方案国产化；通过技术创新与产业链协同，推动其在医疗洁净、工业除尘、公共空间等领域的规模化应用，突破国际技术壁垒。</w:t>
      </w:r>
    </w:p>
    <w:p w14:paraId="2182ABC1">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指南9：高效节能变频中央空调关键技术研究及应用</w:t>
      </w:r>
    </w:p>
    <w:p w14:paraId="659575BF">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高效节能变频中央空调的精准控温、高效节能、智能调控、静音运行与系统稳定等核心性能，重点突破自适应变频控制算法、多系统协同优化技术、环保冷媒应用及智能空气净化集成技术。深化AI驱动的智能化生产流程与全生命周期绿色管理体系，围绕高节能率、场景适配性与系统可靠性等产品属性，实现大型空间空气环境的智能精准调控。通过技术创新与产业链协同，推动其在商业综合体、高端写字楼、数据中心、工业厂房及医疗科研机构等领域的规模化应用，助力国产中央空调行业向高端化、智能化、绿色化转型升级。</w:t>
      </w:r>
    </w:p>
    <w:p w14:paraId="0A765DE4">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指南10：多场景一体化智能安全用电技术研究及应用</w:t>
      </w:r>
    </w:p>
    <w:p w14:paraId="10FDF488">
      <w:pPr>
        <w:pStyle w:val="23"/>
        <w:numPr>
          <w:ilvl w:val="0"/>
          <w:numId w:val="0"/>
        </w:numPr>
        <w:ind w:firstLine="640" w:firstLineChars="200"/>
        <w:rPr>
          <w:bCs w:val="0"/>
          <w:color w:val="000000" w:themeColor="text1"/>
          <w:kern w:val="2"/>
          <w:szCs w:val="24"/>
          <w14:textFill>
            <w14:solidFill>
              <w14:schemeClr w14:val="tx1"/>
            </w14:solidFill>
          </w14:textFill>
        </w:rPr>
      </w:pPr>
      <w:r>
        <w:rPr>
          <w:bCs w:val="0"/>
          <w:color w:val="000000" w:themeColor="text1"/>
          <w:kern w:val="2"/>
          <w:szCs w:val="24"/>
          <w14:textFill>
            <w14:solidFill>
              <w14:schemeClr w14:val="tx1"/>
            </w14:solidFill>
          </w14:textFill>
        </w:rPr>
        <w:t>聚焦智能插座、交流充电枪、直流充电桩等家用智能充电产品的高安全性、高效率、精准控流、低噪平稳运行、长寿命及多场景环境适应性等核心性能，重点突破端测智能芯片、智能控制算法、智能传感技术、智能防过充技术、一体化集成结构设计等；深化AI智能技术应用，研究探索高可靠性、高稳定性、低时延全屋智能安全用电管理系统；围绕高可靠性、高安全性、低成本化、电能高转化率等产品属性，实现家用全屋智能充电设备国产化；通过技术创新与产业链协同，推动其在智能家居、商业办公等领域规模化应用。</w:t>
      </w:r>
    </w:p>
    <w:p w14:paraId="520D3C1F">
      <w:pPr>
        <w:pStyle w:val="23"/>
        <w:numPr>
          <w:ilvl w:val="0"/>
          <w:numId w:val="0"/>
        </w:numPr>
        <w:ind w:firstLine="643" w:firstLineChars="200"/>
        <w:rPr>
          <w:b/>
          <w:bCs w:val="0"/>
          <w:color w:val="000000" w:themeColor="text1"/>
          <w14:textFill>
            <w14:solidFill>
              <w14:schemeClr w14:val="tx1"/>
            </w14:solidFill>
          </w14:textFill>
        </w:rPr>
      </w:pPr>
    </w:p>
    <w:p w14:paraId="30805ED0">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指南11：多场景一体化智能熨烫规模化应用</w:t>
      </w:r>
    </w:p>
    <w:p w14:paraId="18C5788A">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手持蒸汽电熨斗、立式挂烫机、便携充电熨烫机等智能熨烫产品的恒温精准控温、低噪平稳运行、高效蒸汽输出、织物安全护衣、长寿命及多场景环境适应性等核心性能，重点突破AI织物识别温控算法、高精度蒸汽泵驱动控制、耐高温耐磨陶瓷涂层及轻量化集成结构设计；深化AI驱动的智能化制造与绿色低碳生产，围绕高可靠性、低成本化、居家商旅泛用性等产品属性，实现全屋衣物护理熨烫设备国产化；通过技术创新与产业链协同，推动其在智能家居、服装商用护理、便携出行小家电等领域规模化应用。</w:t>
      </w:r>
    </w:p>
    <w:p w14:paraId="4D90AD3E">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指南12：智能冷暖生活电器规模化应用</w:t>
      </w:r>
    </w:p>
    <w:p w14:paraId="3C9E8D10">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智能风扇与取暖器的高效送风、快速制热、精准温控、智能交互及安全等核心性能，重点突破AI环境感知算法、直流变频无刷电机、石墨烯快速发热技术及绿色制造；深化智能化生产与低碳循环体系，围绕舒适体感、场景适配、便捷操作等产品属性，实现家庭环境电器智能化、国产化；通过技术创新与产业链协同，推动其在居家生活、办公场所、户外休闲等领域规模化应用，突破国际技术壁垒，构建自主可控的智能环境电器产业生态。</w:t>
      </w:r>
    </w:p>
    <w:p w14:paraId="089C9DAB">
      <w:pPr>
        <w:ind w:firstLine="640"/>
        <w:rPr>
          <w:rFonts w:cs="Times New Roman"/>
          <w:color w:val="000000" w:themeColor="text1"/>
          <w14:textFill>
            <w14:solidFill>
              <w14:schemeClr w14:val="tx1"/>
            </w14:solidFill>
          </w14:textFill>
        </w:rPr>
      </w:pPr>
    </w:p>
    <w:p w14:paraId="5395157E">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br w:type="page"/>
      </w:r>
    </w:p>
    <w:p w14:paraId="173C9EB5">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52" w:name="_Toc1539024440"/>
      <w:bookmarkStart w:id="53" w:name="_Toc992018767"/>
      <w:r>
        <w:rPr>
          <w:rFonts w:hint="default" w:ascii="Times New Roman" w:hAnsi="Times New Roman"/>
          <w:color w:val="000000" w:themeColor="text1"/>
          <w14:textFill>
            <w14:solidFill>
              <w14:schemeClr w14:val="tx1"/>
            </w14:solidFill>
          </w14:textFill>
        </w:rPr>
        <w:t>时尚纺织服装产业链</w:t>
      </w:r>
      <w:bookmarkEnd w:id="52"/>
      <w:bookmarkEnd w:id="53"/>
    </w:p>
    <w:p w14:paraId="45778D49">
      <w:pPr>
        <w:ind w:firstLine="640"/>
        <w:rPr>
          <w:rFonts w:cs="Times New Roman"/>
          <w:color w:val="000000" w:themeColor="text1"/>
          <w14:textFill>
            <w14:solidFill>
              <w14:schemeClr w14:val="tx1"/>
            </w14:solidFill>
          </w14:textFill>
        </w:rPr>
      </w:pPr>
      <w:bookmarkStart w:id="54" w:name="_Toc2051358541"/>
      <w:r>
        <w:rPr>
          <w:rFonts w:cs="Times New Roman"/>
          <w:color w:val="000000" w:themeColor="text1"/>
          <w14:textFill>
            <w14:solidFill>
              <w14:schemeClr w14:val="tx1"/>
            </w14:solidFill>
          </w14:textFill>
        </w:rPr>
        <w:t>时尚纺织服装是民生消费与产业升级的关键领域。时尚纺织服装产业链上游涵盖基础材料、生产设备；中游为纺织品成品制造；下游服务智能劳动保护、户外运动、医疗防护、时尚消费、家居装饰等多元化场景需求。</w:t>
      </w:r>
    </w:p>
    <w:p w14:paraId="6DF77C4A">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w:t>
      </w:r>
      <w:r>
        <w:rPr>
          <w:rFonts w:hint="eastAsia" w:cs="Times New Roman"/>
          <w:color w:val="000000" w:themeColor="text1"/>
          <w14:textFill>
            <w14:solidFill>
              <w14:schemeClr w14:val="tx1"/>
            </w14:solidFill>
          </w14:textFill>
        </w:rPr>
        <w:t>主要</w:t>
      </w:r>
      <w:r>
        <w:rPr>
          <w:rFonts w:cs="Times New Roman"/>
          <w:color w:val="000000" w:themeColor="text1"/>
          <w14:textFill>
            <w14:solidFill>
              <w14:schemeClr w14:val="tx1"/>
            </w14:solidFill>
          </w14:textFill>
        </w:rPr>
        <w:t>聚焦产业链上游的基础材料以及中游的成品制造，其中基础材料包括高性能纤维、高端纺织面料；纺织品成品包括产业用纺织品、功能型纺织品、服装服饰、家纺用品。具体如下：</w:t>
      </w:r>
    </w:p>
    <w:bookmarkEnd w:id="54"/>
    <w:p w14:paraId="69FBB383">
      <w:pPr>
        <w:pStyle w:val="22"/>
        <w:ind w:left="0" w:leftChars="0" w:firstLine="640"/>
        <w:rPr>
          <w:color w:val="000000" w:themeColor="text1"/>
          <w14:textFill>
            <w14:solidFill>
              <w14:schemeClr w14:val="tx1"/>
            </w14:solidFill>
          </w14:textFill>
        </w:rPr>
      </w:pPr>
      <w:r>
        <w:rPr>
          <w:color w:val="000000" w:themeColor="text1"/>
          <w14:textFill>
            <w14:solidFill>
              <w14:schemeClr w14:val="tx1"/>
            </w14:solidFill>
          </w14:textFill>
        </w:rPr>
        <w:t>基础材料</w:t>
      </w:r>
    </w:p>
    <w:p w14:paraId="09AD32CA">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指南1：高性能纤维生产及应用</w:t>
      </w:r>
    </w:p>
    <w:p w14:paraId="2ED51C6A">
      <w:pPr>
        <w:ind w:firstLine="640"/>
        <w:outlineLvl w:val="2"/>
        <w:rPr>
          <w:rFonts w:cs="Times New Roman"/>
          <w:b/>
          <w:bCs/>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 xml:space="preserve">聚焦高性能纤维高强度、高模量、耐高温、耐腐蚀等性能特点，重点突破再生化学纤维原料高效回收提纯、闭环再生体系构建、聚乳酸纤维耐高温改性、对位芳纶原液纺丝、碳纤维高效预氧化等关键技术，开展生物基化学纤维低成本规模化制备、废旧纺织品高值化再生利用、超强高模纤维复合应用等核心工艺攻关，推动高性能再生化学纤维在服装、家纺领域规模化应用及安全防护等高端领域进口替代，着力构建高性能再生化学纤维全生命周期体系，形成从原料回收到终端应用的全产业链示范，开展天然纤维废旧纺织品高值化再生，突破混纺及特种纤维工艺与花式纱线创新，推动高端市场国产化替代。着力开发石墨烯新材料应用功能，改善身体微循环代谢，提高免疫力，在抗菌同时起到健康保健作用。 </w:t>
      </w:r>
    </w:p>
    <w:p w14:paraId="6046107C">
      <w:pPr>
        <w:ind w:firstLine="643"/>
        <w:outlineLvl w:val="2"/>
        <w:rPr>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指南2：高端纺织面料生产及应用</w:t>
      </w:r>
      <w:r>
        <w:rPr>
          <w:rFonts w:hint="eastAsia" w:cs="Times New Roman"/>
          <w:color w:val="000000" w:themeColor="text1"/>
          <w14:textFill>
            <w14:solidFill>
              <w14:schemeClr w14:val="tx1"/>
            </w14:solidFill>
          </w14:textFill>
        </w:rPr>
        <w:t>聚焦高端纺织面料的基底提质、多功能集成与场景适应性等性能特点。重点研制双丝光高尺寸稳定纯棉基底面料、多频谱自适应变色织物、自清洁光催化面料、医疗级抗菌抗病毒功能面料、消防用高强度阻燃复合材料等多类型高端功能性面料；通过研发新一代印染装备，攻克多场景印花工艺精细度与适配性升级难题，结合丝光纤维改性整理技术、多层复合结构成型技术、多功能一体化涂层技术、微胶囊缓释包覆技术等集成工艺，实现高端面料跨维度功能集成；推动产学研用协同创新平台建设，实现功能性面料在高端服饰家纺、运动健康、医疗防护、特种工装等领域的规模化应用。</w:t>
      </w:r>
    </w:p>
    <w:p w14:paraId="473D0DA4">
      <w:pPr>
        <w:pStyle w:val="22"/>
        <w:ind w:left="0" w:leftChars="0" w:firstLine="640"/>
        <w:rPr>
          <w:color w:val="000000" w:themeColor="text1"/>
          <w14:textFill>
            <w14:solidFill>
              <w14:schemeClr w14:val="tx1"/>
            </w14:solidFill>
          </w14:textFill>
        </w:rPr>
      </w:pPr>
      <w:r>
        <w:rPr>
          <w:color w:val="000000" w:themeColor="text1"/>
          <w14:textFill>
            <w14:solidFill>
              <w14:schemeClr w14:val="tx1"/>
            </w14:solidFill>
          </w14:textFill>
        </w:rPr>
        <w:t>成品制造</w:t>
      </w:r>
    </w:p>
    <w:p w14:paraId="634905E4">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指南1：产业用纺织品生产及应用</w:t>
      </w:r>
    </w:p>
    <w:p w14:paraId="6B6E0A4B">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产业用纺织品高强度、轻量化、多功能、生物相容及绿色化等性能特点。重点推进高强高模纤维、智能复合材料的国产化突破；攻克碳纤维、超高分子量聚乙烯纤维等基材制备技术；推动非织造、三维编织等先进工艺装备升级；开发生物可降解材料、废旧纺织品化学再生装备；深化跨行业协同，突破纳米纤维量产、智能传感织物集成等技术，支撑现代纺织工业的高质量发展需求；面向医疗、环保、新能源和海洋产业等战略领域，发展人工血管、高效过滤材料、锂电隔膜和高性能缆绳等高端产品，拓展功能性涂层与生物相容性技术应用。</w:t>
      </w:r>
    </w:p>
    <w:p w14:paraId="2ACBF6D5">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指南2：功能型纺织品生产及应用</w:t>
      </w:r>
    </w:p>
    <w:p w14:paraId="18AD9805">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功能型纺织品抗菌、防水、透湿，可回收、生物相容性与环境耐受性等性能特点，重点突破智能响应、环境友好型功能整理等核心技术，通过研发导电纤维、相变调温纤维等新型功能材料，结合纳米涂层、微胶囊封装技术实现抗菌、防水透湿等性能的复合叠加；推动环保工艺升级，采用无氟防水剂、低温等离子体整理等技术减少化学品依赖与能耗，并开发可拆卸回收设计以支持循环经济；融合柔性电子、传感技术突破智能纺织品集成瓶颈；聚焦医疗健康、户外运动、户外防护、智能家居等领域，发展抗菌医用纺织品、轻量化智慧型户外装备、自适应温控服装及阻燃家居产品，强化生物相容性与环境耐受性，建立新型功能型纺织品创新体系。</w:t>
      </w:r>
    </w:p>
    <w:p w14:paraId="506CD519">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指南3：服装服饰智能化设计与生产</w:t>
      </w:r>
    </w:p>
    <w:p w14:paraId="5B41F305">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服装服饰深度定制、柔性生产与绿色可回收等性能特点。通过融合传统文化元素与数字化设计工具（如3D虚拟样衣、AI图案生成），推动国潮创新与个性化定制；依托智能裁剪、缝制装备升级与全链路数据协同，实现小单快反的柔性化生产，降低库存并提升效率；扩大再生聚酯、生物基纤维应用，构建旧衣回收—再生利用闭环体系，并通过区块链技术实现碳足迹可追溯，推动全生命周期可持续发展。</w:t>
      </w:r>
    </w:p>
    <w:p w14:paraId="7D81E2D2">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指南4：家纺用品生产及应用</w:t>
      </w:r>
    </w:p>
    <w:p w14:paraId="5A86189B">
      <w:pPr>
        <w:ind w:firstLine="640"/>
        <w:rPr>
          <w:rFonts w:cs="Times New Roman"/>
          <w:color w:val="000000" w:themeColor="text1"/>
          <w:szCs w:val="32"/>
          <w14:textFill>
            <w14:solidFill>
              <w14:schemeClr w14:val="tx1"/>
            </w14:solidFill>
          </w14:textFill>
        </w:rPr>
      </w:pPr>
      <w:r>
        <w:rPr>
          <w:rFonts w:cs="Times New Roman"/>
          <w:color w:val="000000" w:themeColor="text1"/>
          <w14:textFill>
            <w14:solidFill>
              <w14:schemeClr w14:val="tx1"/>
            </w14:solidFill>
          </w14:textFill>
        </w:rPr>
        <w:t>聚焦家纺用品健康舒适、智能便捷、绿色品质与文化赋能等性能特点。通过融合物联网技术，研发温湿度自适应床品、睡眠监测系统和阻燃家居等，提升智能家居场景联动能力；同时联合智能家居、医疗健康领域攻克柔性传感技术，建立功能评价与数据安全标准；推动有机棉、再生聚酯等低碳材料应用，结合无水印花工艺与模块化可拆解设计，降低生产能耗并延长产品生命周期；融合传统纹样与现代美学打造新中式IP产品，并针对母婴、银发等细分人群开发场景化解决方案（如抗菌婴儿床品、适老防摔地毯），满足消费升级下对高品质的家居生活需求。</w:t>
      </w:r>
    </w:p>
    <w:p w14:paraId="38A5234A">
      <w:pPr>
        <w:pStyle w:val="25"/>
        <w:numPr>
          <w:ilvl w:val="0"/>
          <w:numId w:val="1"/>
        </w:numPr>
        <w:ind w:firstLine="643"/>
        <w:rPr>
          <w:rFonts w:hint="default" w:ascii="Times New Roman" w:hAnsi="Times New Roman"/>
          <w:color w:val="000000" w:themeColor="text1"/>
          <w14:textFill>
            <w14:solidFill>
              <w14:schemeClr w14:val="tx1"/>
            </w14:solidFill>
          </w14:textFill>
        </w:rPr>
        <w:sectPr>
          <w:pgSz w:w="11906" w:h="16838"/>
          <w:pgMar w:top="2098" w:right="1474" w:bottom="1814" w:left="1587" w:header="851" w:footer="992" w:gutter="0"/>
          <w:cols w:space="0" w:num="1"/>
          <w:docGrid w:type="lines" w:linePitch="312" w:charSpace="0"/>
        </w:sectPr>
      </w:pPr>
    </w:p>
    <w:p w14:paraId="50B3AAAE">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55" w:name="_Toc2083888712"/>
      <w:bookmarkStart w:id="56" w:name="_Toc1438410927"/>
      <w:r>
        <w:rPr>
          <w:rFonts w:hint="default" w:ascii="Times New Roman" w:hAnsi="Times New Roman"/>
          <w:color w:val="000000" w:themeColor="text1"/>
          <w14:textFill>
            <w14:solidFill>
              <w14:schemeClr w14:val="tx1"/>
            </w14:solidFill>
          </w14:textFill>
        </w:rPr>
        <w:t>时尚文创产业链</w:t>
      </w:r>
      <w:bookmarkEnd w:id="55"/>
      <w:bookmarkEnd w:id="56"/>
    </w:p>
    <w:p w14:paraId="6AC0CBEB">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时尚文创产业是推动文化传承、激发消费活力、塑造城市文化品牌的关键领域，其产业链上游涵盖创意设计资源、文化IP授权、智能交互软硬件研发等，为产业注入创新基因；中游聚焦时尚文创产品的设计开发与工艺实现，通过非遗技艺与现代美学、科技元素与时尚单品等跨界融合打造差异化竞争力等；下游延伸至高端时尚零售、文化主题体验空间、数字艺术展览等多元消费场景，并加速渗透至国潮文创IP衍生品、可持续时尚生活等新兴领域。</w:t>
      </w:r>
    </w:p>
    <w:p w14:paraId="4B7253A2">
      <w:pPr>
        <w:ind w:firstLine="640"/>
        <w:rPr>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w:t>
      </w:r>
      <w:r>
        <w:rPr>
          <w:rFonts w:hint="eastAsia" w:cs="Times New Roman"/>
          <w:color w:val="000000" w:themeColor="text1"/>
          <w14:textFill>
            <w14:solidFill>
              <w14:schemeClr w14:val="tx1"/>
            </w14:solidFill>
          </w14:textFill>
        </w:rPr>
        <w:t>主要</w:t>
      </w:r>
      <w:r>
        <w:rPr>
          <w:rFonts w:cs="Times New Roman"/>
          <w:color w:val="000000" w:themeColor="text1"/>
          <w14:textFill>
            <w14:solidFill>
              <w14:schemeClr w14:val="tx1"/>
            </w14:solidFill>
          </w14:textFill>
        </w:rPr>
        <w:t>聚焦</w:t>
      </w:r>
      <w:r>
        <w:rPr>
          <w:rFonts w:hint="eastAsia" w:cs="Times New Roman"/>
          <w:color w:val="000000" w:themeColor="text1"/>
          <w14:textFill>
            <w14:solidFill>
              <w14:schemeClr w14:val="tx1"/>
            </w14:solidFill>
          </w14:textFill>
        </w:rPr>
        <w:t>时尚文创</w:t>
      </w:r>
      <w:r>
        <w:rPr>
          <w:rFonts w:cs="Times New Roman"/>
          <w:color w:val="000000" w:themeColor="text1"/>
          <w14:textFill>
            <w14:solidFill>
              <w14:schemeClr w14:val="tx1"/>
            </w14:solidFill>
          </w14:textFill>
        </w:rPr>
        <w:t>产业链</w:t>
      </w:r>
      <w:r>
        <w:rPr>
          <w:rFonts w:hint="eastAsia" w:cs="Times New Roman"/>
          <w:color w:val="000000" w:themeColor="text1"/>
          <w14:textFill>
            <w14:solidFill>
              <w14:schemeClr w14:val="tx1"/>
            </w14:solidFill>
          </w14:textFill>
        </w:rPr>
        <w:t>文创潮玩、智能</w:t>
      </w:r>
      <w:r>
        <w:rPr>
          <w:rFonts w:cs="Times New Roman"/>
          <w:color w:val="000000" w:themeColor="text1"/>
          <w14:textFill>
            <w14:solidFill>
              <w14:schemeClr w14:val="tx1"/>
            </w14:solidFill>
          </w14:textFill>
        </w:rPr>
        <w:t>办公设备和</w:t>
      </w:r>
      <w:r>
        <w:rPr>
          <w:rFonts w:hint="eastAsia" w:cs="Times New Roman"/>
          <w:color w:val="000000" w:themeColor="text1"/>
          <w14:textFill>
            <w14:solidFill>
              <w14:schemeClr w14:val="tx1"/>
            </w14:solidFill>
          </w14:textFill>
        </w:rPr>
        <w:t>学习文具、露营装备、健身器材、玩具与婴童用品、工艺美术</w:t>
      </w:r>
      <w:r>
        <w:rPr>
          <w:rFonts w:cs="Times New Roman"/>
          <w:color w:val="000000" w:themeColor="text1"/>
          <w14:textFill>
            <w14:solidFill>
              <w14:schemeClr w14:val="tx1"/>
            </w14:solidFill>
          </w14:textFill>
        </w:rPr>
        <w:t>传承创新</w:t>
      </w:r>
      <w:r>
        <w:rPr>
          <w:rFonts w:hint="eastAsia" w:cs="Times New Roman"/>
          <w:color w:val="000000" w:themeColor="text1"/>
          <w14:textFill>
            <w14:solidFill>
              <w14:schemeClr w14:val="tx1"/>
            </w14:solidFill>
          </w14:textFill>
        </w:rPr>
        <w:t>等领域</w:t>
      </w:r>
      <w:r>
        <w:rPr>
          <w:rFonts w:cs="Times New Roman"/>
          <w:color w:val="000000" w:themeColor="text1"/>
          <w14:textFill>
            <w14:solidFill>
              <w14:schemeClr w14:val="tx1"/>
            </w14:solidFill>
          </w14:textFill>
        </w:rPr>
        <w:t>。具体如下：</w:t>
      </w:r>
    </w:p>
    <w:p w14:paraId="4D373EBE">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指南1：</w:t>
      </w:r>
      <w:r>
        <w:rPr>
          <w:rFonts w:hint="eastAsia" w:cs="Times New Roman"/>
          <w:b/>
          <w:bCs/>
          <w:color w:val="000000" w:themeColor="text1"/>
          <w14:textFill>
            <w14:solidFill>
              <w14:schemeClr w14:val="tx1"/>
            </w14:solidFill>
          </w14:textFill>
        </w:rPr>
        <w:t>IP文创与潮玩文具的设计与生产</w:t>
      </w:r>
    </w:p>
    <w:p w14:paraId="70F78BD2">
      <w:pPr>
        <w:widowControl/>
        <w:ind w:firstLine="640"/>
        <w:jc w:val="left"/>
        <w:rPr>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传统文化与现代文具的深度融合，打造兼具文化价值、使用功能、潮玩属性、环保安全的高附加值文创文具产品。形成以IP视觉规范化转化、高清装饰印刷、潮玩质感涂装、环保安全材料、盲盒概率化封装、自动化量产为核心技术体系，构建从IP设计、结构研发、精密注塑、表面处理到装配防伪、品控检测的完整潮玩文具技术路线，实现高颜值、强IP、高触感、高安全性与规模化量产的统一。同时，推动智能化与AI深度融合，强化文化IP与潮玩化，促进文博、桌游、艺术潮玩、盲盒、手办等快速发展。</w:t>
      </w:r>
    </w:p>
    <w:p w14:paraId="7A818BFD">
      <w:pPr>
        <w:ind w:firstLine="640"/>
        <w:rPr>
          <w:rFonts w:cs="Times New Roman"/>
          <w:color w:val="000000" w:themeColor="text1"/>
          <w14:textFill>
            <w14:solidFill>
              <w14:schemeClr w14:val="tx1"/>
            </w14:solidFill>
          </w14:textFill>
        </w:rPr>
      </w:pPr>
    </w:p>
    <w:p w14:paraId="712B75CF">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w:t>
      </w:r>
      <w:r>
        <w:rPr>
          <w:rFonts w:hint="eastAsia" w:cs="Times New Roman"/>
          <w:b/>
          <w:bCs/>
          <w:color w:val="000000" w:themeColor="text1"/>
          <w14:textFill>
            <w14:solidFill>
              <w14:schemeClr w14:val="tx1"/>
            </w14:solidFill>
          </w14:textFill>
        </w:rPr>
        <w:t>2</w:t>
      </w:r>
      <w:r>
        <w:rPr>
          <w:rFonts w:cs="Times New Roman"/>
          <w:b/>
          <w:bCs/>
          <w:color w:val="000000" w:themeColor="text1"/>
          <w14:textFill>
            <w14:solidFill>
              <w14:schemeClr w14:val="tx1"/>
            </w14:solidFill>
          </w14:textFill>
        </w:rPr>
        <w:t>：</w:t>
      </w:r>
      <w:r>
        <w:rPr>
          <w:rFonts w:hint="eastAsia" w:cs="Times New Roman"/>
          <w:b/>
          <w:bCs/>
          <w:color w:val="000000" w:themeColor="text1"/>
          <w14:textFill>
            <w14:solidFill>
              <w14:schemeClr w14:val="tx1"/>
            </w14:solidFill>
          </w14:textFill>
        </w:rPr>
        <w:t>智能</w:t>
      </w:r>
      <w:r>
        <w:rPr>
          <w:rFonts w:cs="Times New Roman"/>
          <w:b/>
          <w:bCs/>
          <w:color w:val="000000" w:themeColor="text1"/>
          <w14:textFill>
            <w14:solidFill>
              <w14:schemeClr w14:val="tx1"/>
            </w14:solidFill>
          </w14:textFill>
        </w:rPr>
        <w:t>办公设备和</w:t>
      </w:r>
      <w:r>
        <w:rPr>
          <w:rFonts w:hint="eastAsia" w:cs="Times New Roman"/>
          <w:b/>
          <w:bCs/>
          <w:color w:val="000000" w:themeColor="text1"/>
          <w14:textFill>
            <w14:solidFill>
              <w14:schemeClr w14:val="tx1"/>
            </w14:solidFill>
          </w14:textFill>
        </w:rPr>
        <w:t>学习文具的研发及应用</w:t>
      </w:r>
    </w:p>
    <w:p w14:paraId="02318C20">
      <w:pPr>
        <w:widowControl/>
        <w:ind w:firstLine="0" w:firstLineChars="0"/>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    聚焦智能一体机、打印机、扫描仪等办公设备，研发搭载机器学习、自然语言处理、多模态交互技术等，研发低能耗可循环绿色低碳机型，打造软硬件一体全域管控整体方案，推进AI赋能传统办公终端智能化升级</w:t>
      </w:r>
      <w:r>
        <w:rPr>
          <w:rFonts w:hint="eastAsia"/>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聚焦智能笔（词典笔）、智能台灯、错题打印机、智能本、AI橡皮等核心品类，以边缘AI、OCR/NLP教育算法、点阵笔迹数字化、低功耗硬件、知识图谱推荐等为核心技术，构建“硬件采集—端侧AI—云端分析—个性化服务—家校互通”的完整智能学习文具技术体系，实现即扫即译、实时批改、错题自动整理、学情精准分析、护眼伴学、过程可追溯，覆盖K12全场景学习效率提升。</w:t>
      </w:r>
    </w:p>
    <w:p w14:paraId="535BE8B8">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w:t>
      </w:r>
      <w:r>
        <w:rPr>
          <w:rFonts w:hint="eastAsia" w:cs="Times New Roman"/>
          <w:b/>
          <w:bCs/>
          <w:color w:val="000000" w:themeColor="text1"/>
          <w14:textFill>
            <w14:solidFill>
              <w14:schemeClr w14:val="tx1"/>
            </w14:solidFill>
          </w14:textFill>
        </w:rPr>
        <w:t>3</w:t>
      </w:r>
      <w:r>
        <w:rPr>
          <w:rFonts w:cs="Times New Roman"/>
          <w:b/>
          <w:bCs/>
          <w:color w:val="000000" w:themeColor="text1"/>
          <w14:textFill>
            <w14:solidFill>
              <w14:schemeClr w14:val="tx1"/>
            </w14:solidFill>
          </w14:textFill>
        </w:rPr>
        <w:t>：</w:t>
      </w:r>
      <w:r>
        <w:rPr>
          <w:rFonts w:hint="eastAsia" w:cs="Times New Roman"/>
          <w:b/>
          <w:bCs/>
          <w:color w:val="000000" w:themeColor="text1"/>
          <w14:textFill>
            <w14:solidFill>
              <w14:schemeClr w14:val="tx1"/>
            </w14:solidFill>
          </w14:textFill>
        </w:rPr>
        <w:t>精致露营装备生产</w:t>
      </w:r>
      <w:r>
        <w:rPr>
          <w:rFonts w:cs="Times New Roman"/>
          <w:b/>
          <w:bCs/>
          <w:color w:val="000000" w:themeColor="text1"/>
          <w14:textFill>
            <w14:solidFill>
              <w14:schemeClr w14:val="tx1"/>
            </w14:solidFill>
          </w14:textFill>
        </w:rPr>
        <w:t>及应用</w:t>
      </w:r>
    </w:p>
    <w:p w14:paraId="5F67C448">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帐篷（天幕）、睡眠系统、户外炊具、家具、照明（电源）、智能模块六大核心，以轻量化高强材料、防水透气复合面料、模块化速开结构、极端环境适配、智能生态为五大核心技术，构建从材料研发、仿生结构设计、精密制造到全性能测试的完整精致露营装备技术体系，实现轻量化、高强度、快搭建、舒适保暖、防水防风、环保耐用、智能便捷的高端体验，支撑从近郊休闲到极端环境的全场景精致露营需求。</w:t>
      </w:r>
    </w:p>
    <w:p w14:paraId="63CF6C75">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w:t>
      </w:r>
      <w:r>
        <w:rPr>
          <w:rFonts w:hint="eastAsia" w:cs="Times New Roman"/>
          <w:b/>
          <w:bCs/>
          <w:color w:val="000000" w:themeColor="text1"/>
          <w14:textFill>
            <w14:solidFill>
              <w14:schemeClr w14:val="tx1"/>
            </w14:solidFill>
          </w14:textFill>
        </w:rPr>
        <w:t>4</w:t>
      </w:r>
      <w:r>
        <w:rPr>
          <w:rFonts w:cs="Times New Roman"/>
          <w:b/>
          <w:bCs/>
          <w:color w:val="000000" w:themeColor="text1"/>
          <w14:textFill>
            <w14:solidFill>
              <w14:schemeClr w14:val="tx1"/>
            </w14:solidFill>
          </w14:textFill>
        </w:rPr>
        <w:t>：</w:t>
      </w:r>
      <w:r>
        <w:rPr>
          <w:rFonts w:hint="eastAsia" w:cs="Times New Roman"/>
          <w:b/>
          <w:bCs/>
          <w:color w:val="000000" w:themeColor="text1"/>
          <w14:textFill>
            <w14:solidFill>
              <w14:schemeClr w14:val="tx1"/>
            </w14:solidFill>
          </w14:textFill>
        </w:rPr>
        <w:t>智能健身器材（设备）研发及应用</w:t>
      </w:r>
    </w:p>
    <w:p w14:paraId="11EAE871">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以传统有氧/力量器械为硬件载体，通过IMU、毫米波雷达、3D视觉、力传感器实现运动姿态、生理信号与力学数据无感采集，依托边缘AI芯片+轻量化姿态/生物力学算法完成本地实时动作纠错、负荷评估与AI私教指导，采用FOC无刷电机、电磁控阻、伺服直驱实现精准动态阻力调节与安全控制，搭配触控屏、远场语音、AR交互提升体验，并通过MQTT/云端IoT打通数据、课程与会员体系，整体技术路径沿着硬件智能化、感知无感化、算法实时化、数字孪生化推进，兼顾家用轻量化与商用专业化。</w:t>
      </w:r>
    </w:p>
    <w:p w14:paraId="78BF36DB">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w:t>
      </w:r>
      <w:r>
        <w:rPr>
          <w:rFonts w:hint="eastAsia" w:cs="Times New Roman"/>
          <w:b/>
          <w:bCs/>
          <w:color w:val="000000" w:themeColor="text1"/>
          <w14:textFill>
            <w14:solidFill>
              <w14:schemeClr w14:val="tx1"/>
            </w14:solidFill>
          </w14:textFill>
        </w:rPr>
        <w:t>5</w:t>
      </w:r>
      <w:r>
        <w:rPr>
          <w:rFonts w:cs="Times New Roman"/>
          <w:b/>
          <w:bCs/>
          <w:color w:val="000000" w:themeColor="text1"/>
          <w14:textFill>
            <w14:solidFill>
              <w14:schemeClr w14:val="tx1"/>
            </w14:solidFill>
          </w14:textFill>
        </w:rPr>
        <w:t>：</w:t>
      </w:r>
      <w:r>
        <w:rPr>
          <w:rFonts w:hint="eastAsia" w:cs="Times New Roman"/>
          <w:b/>
          <w:bCs/>
          <w:color w:val="000000" w:themeColor="text1"/>
          <w14:textFill>
            <w14:solidFill>
              <w14:schemeClr w14:val="tx1"/>
            </w14:solidFill>
          </w14:textFill>
        </w:rPr>
        <w:t>玩具与婴童、老年用品的研发及应用</w:t>
      </w:r>
    </w:p>
    <w:p w14:paraId="1BB883C7">
      <w:pPr>
        <w:widowControl/>
        <w:ind w:firstLine="640"/>
        <w:rPr>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以安全合规为底线、智能交互为核心、环保新材料为方向、精密制造为支撑。围绕食品级/医用级无毒材料、生物基可降解与再生材料应用，依托双色注塑、超声波焊接、模内着色等无胶无缝安全工艺，叠加儿童专用及老年专用低功耗AI语音、TinyML离线智能、传感交互与IoT联网技术</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发挥监护、远程控制、情感互动、成长陪伴等作用。同步构建覆盖物理防吞咽、化学无重金属/无塑化剂及国内外强标认证的全流程安全体系，配合低碳生产、可拆解回收与轻量化结构设计，形成“材料安全化+制造精密化+功能智能化+产品绿色化”的一体化技术落地路线。</w:t>
      </w:r>
    </w:p>
    <w:p w14:paraId="160FD91F">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指南6：工艺美术传承创新发展</w:t>
      </w:r>
    </w:p>
    <w:p w14:paraId="5D8BFFD6">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通过推进生产方式转型，实施生产设施智能化、数字化等改造，提升现代化生产能力。通过搭建传统技艺传承创新平台，开展技艺建档留存、人才传习培育，推动工艺与现代设计融合创新。通过建设品牌推广、数字化营销及产品展销综合平台，培育特色工艺美术品牌，依托直播电商拓宽线上渠道，常态化开展线上线下展示展销。</w:t>
      </w:r>
      <w:r>
        <w:rPr>
          <w:rFonts w:hint="eastAsia" w:cs="Times New Roman"/>
          <w:color w:val="000000" w:themeColor="text1"/>
          <w14:textFill>
            <w14:solidFill>
              <w14:schemeClr w14:val="tx1"/>
            </w14:solidFill>
          </w14:textFill>
        </w:rPr>
        <w:br w:type="page"/>
      </w:r>
    </w:p>
    <w:p w14:paraId="47B15F54">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57" w:name="_Toc397866894"/>
      <w:bookmarkStart w:id="58" w:name="_Toc141920507"/>
      <w:r>
        <w:rPr>
          <w:rFonts w:hint="default" w:ascii="Times New Roman" w:hAnsi="Times New Roman"/>
          <w:color w:val="000000" w:themeColor="text1"/>
          <w14:textFill>
            <w14:solidFill>
              <w14:schemeClr w14:val="tx1"/>
            </w14:solidFill>
          </w14:textFill>
        </w:rPr>
        <w:t>高技术船舶与海工装备产业链</w:t>
      </w:r>
      <w:bookmarkEnd w:id="57"/>
      <w:bookmarkEnd w:id="58"/>
    </w:p>
    <w:p w14:paraId="7BEA61FA">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船舶与海工装备产业是海洋强国战略的核心支撑，其产业链上游涉及特种材料、配套部件研发制造以及船舶装备设计等；中游聚焦船舶总装制造、海洋工程装备集成等；下游延伸至航运物流、深海矿产勘探开发等高端应用场景。</w:t>
      </w:r>
    </w:p>
    <w:p w14:paraId="05974DA5">
      <w:pPr>
        <w:ind w:firstLine="640"/>
        <w:rPr>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w:t>
      </w:r>
      <w:r>
        <w:rPr>
          <w:rFonts w:hint="eastAsia" w:cs="Times New Roman"/>
          <w:color w:val="000000" w:themeColor="text1"/>
          <w14:textFill>
            <w14:solidFill>
              <w14:schemeClr w14:val="tx1"/>
            </w14:solidFill>
          </w14:textFill>
        </w:rPr>
        <w:t>主要</w:t>
      </w:r>
      <w:r>
        <w:rPr>
          <w:rFonts w:cs="Times New Roman"/>
          <w:color w:val="000000" w:themeColor="text1"/>
          <w14:textFill>
            <w14:solidFill>
              <w14:schemeClr w14:val="tx1"/>
            </w14:solidFill>
          </w14:textFill>
        </w:rPr>
        <w:t>聚焦</w:t>
      </w:r>
      <w:r>
        <w:rPr>
          <w:rFonts w:hint="eastAsia" w:cs="Times New Roman"/>
          <w:color w:val="000000" w:themeColor="text1"/>
          <w14:textFill>
            <w14:solidFill>
              <w14:schemeClr w14:val="tx1"/>
            </w14:solidFill>
          </w14:textFill>
        </w:rPr>
        <w:t>高技术船舶与海工装备</w:t>
      </w:r>
      <w:r>
        <w:rPr>
          <w:rFonts w:cs="Times New Roman"/>
          <w:color w:val="000000" w:themeColor="text1"/>
          <w14:textFill>
            <w14:solidFill>
              <w14:schemeClr w14:val="tx1"/>
            </w14:solidFill>
          </w14:textFill>
        </w:rPr>
        <w:t>产业链</w:t>
      </w:r>
      <w:r>
        <w:rPr>
          <w:rFonts w:hint="eastAsia" w:cs="Times New Roman"/>
          <w:color w:val="000000" w:themeColor="text1"/>
          <w14:textFill>
            <w14:solidFill>
              <w14:schemeClr w14:val="tx1"/>
            </w14:solidFill>
          </w14:textFill>
        </w:rPr>
        <w:t>船舶和海工装备、深地矿产装备及深海高端装备等领域</w:t>
      </w:r>
      <w:r>
        <w:rPr>
          <w:rFonts w:cs="Times New Roman"/>
          <w:color w:val="000000" w:themeColor="text1"/>
          <w14:textFill>
            <w14:solidFill>
              <w14:schemeClr w14:val="tx1"/>
            </w14:solidFill>
          </w14:textFill>
        </w:rPr>
        <w:t>。具体如下：</w:t>
      </w:r>
    </w:p>
    <w:p w14:paraId="7EC3C258">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w:t>
      </w:r>
      <w:r>
        <w:rPr>
          <w:b/>
          <w:bCs w:val="0"/>
          <w:color w:val="000000" w:themeColor="text1"/>
          <w14:textFill>
            <w14:solidFill>
              <w14:schemeClr w14:val="tx1"/>
            </w14:solidFill>
          </w14:textFill>
        </w:rPr>
        <w:t>高技术船舶</w:t>
      </w:r>
      <w:r>
        <w:rPr>
          <w:rFonts w:hint="eastAsia"/>
          <w:b/>
          <w:bCs w:val="0"/>
          <w:color w:val="000000" w:themeColor="text1"/>
          <w14:textFill>
            <w14:solidFill>
              <w14:schemeClr w14:val="tx1"/>
            </w14:solidFill>
          </w14:textFill>
        </w:rPr>
        <w:t>和海工装备设计与制造</w:t>
      </w:r>
    </w:p>
    <w:p w14:paraId="172590C9">
      <w:pPr>
        <w:widowControl/>
        <w:ind w:firstLine="640"/>
        <w:jc w:val="left"/>
        <w:rPr>
          <w:b/>
          <w:color w:val="000000" w:themeColor="text1"/>
          <w14:textFill>
            <w14:solidFill>
              <w14:schemeClr w14:val="tx1"/>
            </w14:solidFill>
          </w14:textFill>
        </w:rPr>
      </w:pPr>
      <w:r>
        <w:rPr>
          <w:rFonts w:cs="Times New Roman"/>
          <w:color w:val="000000" w:themeColor="text1"/>
          <w14:textFill>
            <w14:solidFill>
              <w14:schemeClr w14:val="tx1"/>
            </w14:solidFill>
          </w14:textFill>
        </w:rPr>
        <w:t>聚焦高端船型、新型海工、核心部件与智能制造</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核心围绕绿色低碳、智能高端、关键配套国产化三大方向</w:t>
      </w:r>
      <w:r>
        <w:rPr>
          <w:rFonts w:hint="eastAsia" w:cs="Times New Roman"/>
          <w:color w:val="000000" w:themeColor="text1"/>
          <w14:textFill>
            <w14:solidFill>
              <w14:schemeClr w14:val="tx1"/>
            </w14:solidFill>
          </w14:textFill>
        </w:rPr>
        <w:t>，研发制造绿色低碳新能源船型、高端高附加值船型关键配套与系统国产化、海上油气与新能源装备、深远海与特种海工装备、海工关键系统与部件，</w:t>
      </w:r>
      <w:r>
        <w:rPr>
          <w:rFonts w:hint="eastAsia"/>
          <w:color w:val="000000" w:themeColor="text1"/>
          <w14:textFill>
            <w14:solidFill>
              <w14:schemeClr w14:val="tx1"/>
            </w14:solidFill>
          </w14:textFill>
        </w:rPr>
        <w:t>以此全面</w:t>
      </w:r>
      <w:r>
        <w:rPr>
          <w:rFonts w:cs="Times New Roman"/>
          <w:color w:val="000000" w:themeColor="text1"/>
          <w:szCs w:val="32"/>
          <w:shd w:val="clear" w:color="auto" w:fill="FFFFFF"/>
          <w:lang w:bidi="zh-CN"/>
          <w14:textFill>
            <w14:solidFill>
              <w14:schemeClr w14:val="tx1"/>
            </w14:solidFill>
          </w14:textFill>
        </w:rPr>
        <w:t>构建绿色环保、智能高效的</w:t>
      </w:r>
      <w:r>
        <w:rPr>
          <w:rFonts w:hint="eastAsia"/>
          <w:color w:val="000000" w:themeColor="text1"/>
          <w14:textFill>
            <w14:solidFill>
              <w14:schemeClr w14:val="tx1"/>
            </w14:solidFill>
          </w14:textFill>
        </w:rPr>
        <w:t>船舶与海工装备</w:t>
      </w:r>
      <w:r>
        <w:rPr>
          <w:rFonts w:cs="Times New Roman"/>
          <w:color w:val="000000" w:themeColor="text1"/>
          <w:szCs w:val="32"/>
          <w:shd w:val="clear" w:color="auto" w:fill="FFFFFF"/>
          <w:lang w:bidi="zh-CN"/>
          <w14:textFill>
            <w14:solidFill>
              <w14:schemeClr w14:val="tx1"/>
            </w14:solidFill>
          </w14:textFill>
        </w:rPr>
        <w:t>制造体系</w:t>
      </w:r>
      <w:r>
        <w:rPr>
          <w:rFonts w:hint="eastAsia"/>
          <w:color w:val="000000" w:themeColor="text1"/>
          <w14:textFill>
            <w14:solidFill>
              <w14:schemeClr w14:val="tx1"/>
            </w14:solidFill>
          </w14:textFill>
        </w:rPr>
        <w:t>。</w:t>
      </w:r>
    </w:p>
    <w:p w14:paraId="038EC90D">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2</w:t>
      </w:r>
      <w:r>
        <w:rPr>
          <w:b/>
          <w:bCs w:val="0"/>
          <w:color w:val="000000" w:themeColor="text1"/>
          <w14:textFill>
            <w14:solidFill>
              <w14:schemeClr w14:val="tx1"/>
            </w14:solidFill>
          </w14:textFill>
        </w:rPr>
        <w:t>：面向深地矿产的高端装备研发与应用</w:t>
      </w:r>
    </w:p>
    <w:p w14:paraId="28546062">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深地矿产前沿创新应用，要求实现超深钻探能力、高精度资源识别及绿色开采效率；能够解决耐高温钻头材料、原位资源转化技术、极端高温高压环境下的设备稳定性以及复杂地质构造精准建模等技术难点。能够实现1500米级金属矿自动化开采、铀矿原位浸出率提升至90%以上等产业化指标。</w:t>
      </w:r>
    </w:p>
    <w:p w14:paraId="3F0B478E">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3</w:t>
      </w:r>
      <w:r>
        <w:rPr>
          <w:b/>
          <w:bCs w:val="0"/>
          <w:color w:val="000000" w:themeColor="text1"/>
          <w14:textFill>
            <w14:solidFill>
              <w14:schemeClr w14:val="tx1"/>
            </w14:solidFill>
          </w14:textFill>
        </w:rPr>
        <w:t>：深海高端装备及其关键材料开发</w:t>
      </w:r>
    </w:p>
    <w:p w14:paraId="12B36DD2">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深海高端装备前沿创新应用，攻克水下悬浮定位控制、高强材料切割模块设计、多工况动力匹配等关键技术，创新采用模块化组合设计，实现悬浮作业与岩石切割模式的快速切换，突破深远海柔性直流海缆大长度大截面制造技术及关键材料与工艺难题，构建涵盖设计、制造、敷设及运维的全链条技术体系。通过集成创新提升深海电力输送能力和复杂地质适应性，支撑深远海风电并网及海底工程需求，打破国外技术垄断。</w:t>
      </w:r>
    </w:p>
    <w:p w14:paraId="265BDEAA">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br w:type="page"/>
      </w:r>
    </w:p>
    <w:p w14:paraId="250C3CBB">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59" w:name="_Toc826982380"/>
      <w:bookmarkStart w:id="60" w:name="_Toc2044655318"/>
      <w:r>
        <w:rPr>
          <w:rFonts w:hint="default" w:ascii="Times New Roman" w:hAnsi="Times New Roman"/>
          <w:color w:val="000000" w:themeColor="text1"/>
          <w14:textFill>
            <w14:solidFill>
              <w14:schemeClr w14:val="tx1"/>
            </w14:solidFill>
          </w14:textFill>
        </w:rPr>
        <w:t>化工新材料产业链</w:t>
      </w:r>
      <w:bookmarkEnd w:id="59"/>
      <w:bookmarkEnd w:id="60"/>
    </w:p>
    <w:p w14:paraId="6E013C4F">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化工新材料是国民经济基础性产业。化工新材料产业链上游包括基础原材料，如原油、煤炭、天然气等，以及乙烯、丙烯、对二甲苯、己内酰胺等化学助剂、单体中间物；中游为化工新材料制造，如新领域高端化工产品、传统化工材料高端品种、二次加工的化工新材料；下游为应用市场，包括电子信息、新能源、医疗、航空航天等。</w:t>
      </w:r>
    </w:p>
    <w:p w14:paraId="7AB4876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本次“指南”主要聚焦于化工新材料产业链中游的新领域高端材料和二次加工化工新材料，主要包括高性能树脂、特种合成橡胶等。具体如下：</w:t>
      </w:r>
    </w:p>
    <w:p w14:paraId="26B9A396">
      <w:pPr>
        <w:pStyle w:val="22"/>
        <w:ind w:left="0" w:leftChars="0" w:firstLine="640"/>
        <w:rPr>
          <w:color w:val="000000" w:themeColor="text1"/>
          <w14:textFill>
            <w14:solidFill>
              <w14:schemeClr w14:val="tx1"/>
            </w14:solidFill>
          </w14:textFill>
        </w:rPr>
      </w:pPr>
      <w:r>
        <w:rPr>
          <w:color w:val="000000" w:themeColor="text1"/>
          <w14:textFill>
            <w14:solidFill>
              <w14:schemeClr w14:val="tx1"/>
            </w14:solidFill>
          </w14:textFill>
        </w:rPr>
        <w:t>高性能树脂</w:t>
      </w:r>
    </w:p>
    <w:p w14:paraId="2F19E69A">
      <w:pPr>
        <w:pStyle w:val="23"/>
        <w:numPr>
          <w:ilvl w:val="0"/>
          <w:numId w:val="0"/>
        </w:numPr>
        <w:ind w:firstLine="643" w:firstLineChars="200"/>
        <w:rPr>
          <w:b/>
          <w:bCs w:val="0"/>
          <w:color w:val="000000" w:themeColor="text1"/>
          <w14:textFill>
            <w14:solidFill>
              <w14:schemeClr w14:val="tx1"/>
            </w14:solidFill>
          </w14:textFill>
        </w:rPr>
      </w:pPr>
      <w:bookmarkStart w:id="61" w:name="_Hlk193356035"/>
      <w:r>
        <w:rPr>
          <w:b/>
          <w:bCs w:val="0"/>
          <w:color w:val="000000" w:themeColor="text1"/>
          <w14:textFill>
            <w14:solidFill>
              <w14:schemeClr w14:val="tx1"/>
            </w14:solidFill>
          </w14:textFill>
        </w:rPr>
        <w:t>指南1：聚对苯二甲酸丙二醇酯（PTT）产业化</w:t>
      </w:r>
    </w:p>
    <w:p w14:paraId="681A9B2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聚对苯二甲酸丙二醇酯（PTT）耐高温、耐化学腐蚀、高回弹性等核心性能，重点突破PTT低成本、低副产物、高转化率制备工艺；深化AI驱动控制系统工艺优化与绿色制造，实现PDO、PTT聚合树脂、功能化纤维等产品国产化；通过技术创新与产业链协同，推动其在纺织纤维、工程塑料、医疗材料、包装材料等高端领域规模化应用，打破国外垄断，实现进口替代。</w:t>
      </w:r>
    </w:p>
    <w:bookmarkEnd w:id="61"/>
    <w:p w14:paraId="21A800D1">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指南2：二氧化碳基聚碳酸酯多元醇（PCE）规模化生产与应用</w:t>
      </w:r>
    </w:p>
    <w:p w14:paraId="5AEF0BB4">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二氧化碳基聚碳酸酯多元醇（PCE）耐水解性、耐热性、耐磨性、低温柔韧性及高弹性等核心性能，重点突破高效催化剂制备技术、气液界面传质技术、可控聚合反应技术等PCE产业化关键技术；通过优化二氧化碳与环氧烷烃的气液相界面传质技术，创新单体共聚反应技术，实现二氧化碳捕集、纯化和高价值资源化利用，推动国产PCE在医疗、包装、薄膜材料以及一次性餐具等领域的应用，打破国外技术垄断。</w:t>
      </w:r>
    </w:p>
    <w:p w14:paraId="6D1EE014">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指南3：低碳聚醚多元醇绿色生产</w:t>
      </w:r>
    </w:p>
    <w:p w14:paraId="3317DA3D">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聚醚多元醇高反应活性、低挥发性、环保兼容性及多功能可调性等核心性能，重点突破生物基原料替代、高效催化体系设计、连续化聚合工艺优化及低VOC（挥发性有机物）排放技术；通过技术创新与产业链协同，推动其在聚氨酯泡沫、弹性体、涂料、胶粘剂及生物基材料等领域规模化应用，打破国外技术壁垒，实现聚醚多元醇产业向高附加值、低碳足迹、可持续方向升级。</w:t>
      </w:r>
    </w:p>
    <w:p w14:paraId="51A6F34E">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指南4：聚对苯二甲酸乙二醇酯-1,4-环己烷二甲醇酯（PCTG）产业化</w:t>
      </w:r>
    </w:p>
    <w:p w14:paraId="153C4487">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仲羟基二醇共聚改性的聚对苯二甲酸乙二醇酯-1,4-环己烷二甲醇酯（PCTG）高耐热、高抗冲、高透明等核心性能，重点突破仲羟基二醇高效聚合催化体系设计及PCTG高分子量、低成本高效聚合工艺，实现关键核心仲羟基二醇单体及PCTG树脂产品国产化；通过技术创新与产业链协同，推动其在智能家电、婴幼奶瓶、运动水杯、医疗装备等高端领域规模化应用，打破国外垄断，实现进口替代。</w:t>
      </w:r>
    </w:p>
    <w:p w14:paraId="228A631F">
      <w:pPr>
        <w:pStyle w:val="36"/>
        <w:ind w:firstLine="643"/>
        <w:rPr>
          <w:rFonts w:cs="Times New Roman"/>
          <w:b/>
          <w:bCs/>
          <w:color w:val="000000" w:themeColor="text1"/>
          <w14:textFill>
            <w14:solidFill>
              <w14:schemeClr w14:val="tx1"/>
            </w14:solidFill>
          </w14:textFill>
        </w:rPr>
      </w:pPr>
      <w:r>
        <w:rPr>
          <w:rFonts w:hint="eastAsia" w:cs="Times New Roman"/>
          <w:b/>
          <w:bCs/>
          <w:color w:val="000000" w:themeColor="text1"/>
          <w14:textFill>
            <w14:solidFill>
              <w14:schemeClr w14:val="tx1"/>
            </w14:solidFill>
          </w14:textFill>
        </w:rPr>
        <w:t>指南</w:t>
      </w:r>
      <w:r>
        <w:rPr>
          <w:rFonts w:cs="Times New Roman"/>
          <w:b/>
          <w:bCs/>
          <w:color w:val="000000" w:themeColor="text1"/>
          <w14:textFill>
            <w14:solidFill>
              <w14:schemeClr w14:val="tx1"/>
            </w14:solidFill>
          </w14:textFill>
        </w:rPr>
        <w:t>5</w:t>
      </w:r>
      <w:r>
        <w:rPr>
          <w:rFonts w:hint="eastAsia" w:cs="Times New Roman"/>
          <w:b/>
          <w:bCs/>
          <w:color w:val="000000" w:themeColor="text1"/>
          <w14:textFill>
            <w14:solidFill>
              <w14:schemeClr w14:val="tx1"/>
            </w14:solidFill>
          </w14:textFill>
        </w:rPr>
        <w:t>：高纯净高压聚乙烯的规模化制备与应用</w:t>
      </w:r>
    </w:p>
    <w:p w14:paraId="0A29D40C">
      <w:pPr>
        <w:pStyle w:val="36"/>
        <w:ind w:firstLine="640"/>
        <w:rPr>
          <w:rFonts w:cs="Times New Roman"/>
          <w:strike/>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高压聚乙烯（HP-LDPE）在医药卫生、电力输送等领域的核心应用需求，开展极端压力条件下乙烯自由基聚合的反应机理及调控机制研究，重点突破高纯净聚乙烯分子链结构的定向设计及调控技术、管式反应过程内生杂质的反应控制技术以及全流程纯净生产关键技术，实现高纯净、低析出医药专用LDPE和高纯净电缆绝缘专用LDPE等产品的千吨级规模化制备，并通过应用技术创新及上下游产业链协同，实现上述产品的应用验证与示范推广。</w:t>
      </w:r>
      <w:bookmarkStart w:id="74" w:name="_GoBack"/>
      <w:bookmarkEnd w:id="74"/>
    </w:p>
    <w:p w14:paraId="07BB947F">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w:t>
      </w:r>
      <w:r>
        <w:rPr>
          <w:b/>
          <w:bCs w:val="0"/>
          <w:color w:val="000000" w:themeColor="text1"/>
          <w14:textFill>
            <w14:solidFill>
              <w14:schemeClr w14:val="tx1"/>
            </w14:solidFill>
          </w14:textFill>
        </w:rPr>
        <w:t>6</w:t>
      </w:r>
      <w:r>
        <w:rPr>
          <w:rFonts w:hint="eastAsia"/>
          <w:b/>
          <w:bCs w:val="0"/>
          <w:color w:val="000000" w:themeColor="text1"/>
          <w14:textFill>
            <w14:solidFill>
              <w14:schemeClr w14:val="tx1"/>
            </w14:solidFill>
          </w14:textFill>
        </w:rPr>
        <w:t>：高性能聚丙烯树脂生产改性一体化工业示范</w:t>
      </w:r>
    </w:p>
    <w:p w14:paraId="3A74AE2A">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聚焦高性能聚丙烯树脂的多功能可调性及低碳足迹等核心性能，重点突破初生态聚丙烯分子链/聚集态结构反应精准调控技术、</w:t>
      </w:r>
      <w:r>
        <w:rPr>
          <w:rFonts w:cs="Times New Roman"/>
          <w:color w:val="000000" w:themeColor="text1"/>
          <w14:textFill>
            <w14:solidFill>
              <w14:schemeClr w14:val="tx1"/>
            </w14:solidFill>
          </w14:textFill>
        </w:rPr>
        <w:t>高</w:t>
      </w:r>
      <w:r>
        <w:rPr>
          <w:rFonts w:hint="eastAsia" w:cs="Times New Roman"/>
          <w:color w:val="000000" w:themeColor="text1"/>
          <w14:textFill>
            <w14:solidFill>
              <w14:schemeClr w14:val="tx1"/>
            </w14:solidFill>
          </w14:textFill>
        </w:rPr>
        <w:t>粘颗粒稳定流态化技术以及功能性树脂多通道在线同步改性智能控制技术；</w:t>
      </w:r>
      <w:r>
        <w:rPr>
          <w:rFonts w:cs="Times New Roman"/>
          <w:color w:val="000000" w:themeColor="text1"/>
          <w14:textFill>
            <w14:solidFill>
              <w14:schemeClr w14:val="tx1"/>
            </w14:solidFill>
          </w14:textFill>
        </w:rPr>
        <w:t>构建中试研究平台，破解化工新材料研发放大断点，深化聚合工艺的“工业化量产缓冲段”，填补“小试到量产”产业链空白，补齐产业链工艺放大与新品迭代关键环节，</w:t>
      </w:r>
      <w:r>
        <w:rPr>
          <w:rFonts w:hint="eastAsia" w:cs="Times New Roman"/>
          <w:color w:val="000000" w:themeColor="text1"/>
          <w14:textFill>
            <w14:solidFill>
              <w14:schemeClr w14:val="tx1"/>
            </w14:solidFill>
          </w14:textFill>
        </w:rPr>
        <w:t>深化聚合-改性全流程一体化智造与绿色循环体系，</w:t>
      </w:r>
      <w:r>
        <w:rPr>
          <w:rFonts w:ascii="仿宋_GB2312" w:hAnsi="Arial" w:cs="仿宋_GB2312"/>
          <w:color w:val="000000" w:themeColor="text1"/>
          <w:szCs w:val="32"/>
          <w:lang w:bidi="ar"/>
          <w14:textFill>
            <w14:solidFill>
              <w14:schemeClr w14:val="tx1"/>
            </w14:solidFill>
          </w14:textFill>
        </w:rPr>
        <w:t>实现中游聚合环节技术自主可控，摆脱高端聚丙烯树脂聚合工艺对外技术依赖。</w:t>
      </w:r>
      <w:r>
        <w:rPr>
          <w:rFonts w:hint="eastAsia" w:cs="Times New Roman"/>
          <w:color w:val="000000" w:themeColor="text1"/>
          <w14:textFill>
            <w14:solidFill>
              <w14:schemeClr w14:val="tx1"/>
            </w14:solidFill>
          </w14:textFill>
        </w:rPr>
        <w:t>围绕高性能、低散发、定制化等产品属性，实现高流动高抗冲树脂、低气味树脂、车用高性能专用料等多牌号产品在线同步生产与国产化替代。通过技术创新与产业链协同，推动其在汽车轻量化、智能家电、高端包装、绿色物流等领域的规模化应用，打破高端聚丙烯产品及一体化工艺国外垄断，推动聚丙烯产业向高性能、智能化、低碳化方向升级。</w:t>
      </w:r>
    </w:p>
    <w:p w14:paraId="7DFE1F52">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w:t>
      </w:r>
      <w:r>
        <w:rPr>
          <w:b/>
          <w:bCs w:val="0"/>
          <w:color w:val="000000" w:themeColor="text1"/>
          <w14:textFill>
            <w14:solidFill>
              <w14:schemeClr w14:val="tx1"/>
            </w14:solidFill>
          </w14:textFill>
        </w:rPr>
        <w:t>7</w:t>
      </w:r>
      <w:r>
        <w:rPr>
          <w:rFonts w:hint="eastAsia"/>
          <w:b/>
          <w:bCs w:val="0"/>
          <w:color w:val="000000" w:themeColor="text1"/>
          <w14:textFill>
            <w14:solidFill>
              <w14:schemeClr w14:val="tx1"/>
            </w14:solidFill>
          </w14:textFill>
        </w:rPr>
        <w:t>：高性能聚醚醚酮（</w:t>
      </w:r>
      <w:r>
        <w:rPr>
          <w:b/>
          <w:bCs w:val="0"/>
          <w:color w:val="000000" w:themeColor="text1"/>
          <w14:textFill>
            <w14:solidFill>
              <w14:schemeClr w14:val="tx1"/>
            </w14:solidFill>
          </w14:textFill>
        </w:rPr>
        <w:t>PEEK</w:t>
      </w:r>
      <w:r>
        <w:rPr>
          <w:rFonts w:hint="eastAsia"/>
          <w:b/>
          <w:bCs w:val="0"/>
          <w:color w:val="000000" w:themeColor="text1"/>
          <w14:textFill>
            <w14:solidFill>
              <w14:schemeClr w14:val="tx1"/>
            </w14:solidFill>
          </w14:textFill>
        </w:rPr>
        <w:t>）树脂生产与开发</w:t>
      </w:r>
    </w:p>
    <w:p w14:paraId="756BFA3C">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聚焦聚醚醚酮（</w:t>
      </w:r>
      <w:r>
        <w:rPr>
          <w:rFonts w:cs="Times New Roman"/>
          <w:color w:val="000000" w:themeColor="text1"/>
          <w14:textFill>
            <w14:solidFill>
              <w14:schemeClr w14:val="tx1"/>
            </w14:solidFill>
          </w14:textFill>
        </w:rPr>
        <w:t>PEEK</w:t>
      </w:r>
      <w:r>
        <w:rPr>
          <w:rFonts w:hint="eastAsia" w:cs="Times New Roman"/>
          <w:color w:val="000000" w:themeColor="text1"/>
          <w14:textFill>
            <w14:solidFill>
              <w14:schemeClr w14:val="tx1"/>
            </w14:solidFill>
          </w14:textFill>
        </w:rPr>
        <w:t>）长期耐高温、耐化学腐蚀、阻燃自润滑、高强度轻量化及生物相容等核心性能，重点突破高品质</w:t>
      </w:r>
      <w:r>
        <w:rPr>
          <w:rFonts w:cs="Times New Roman"/>
          <w:color w:val="000000" w:themeColor="text1"/>
          <w14:textFill>
            <w14:solidFill>
              <w14:schemeClr w14:val="tx1"/>
            </w14:solidFill>
          </w14:textFill>
        </w:rPr>
        <w:t>DFBP</w:t>
      </w:r>
      <w:r>
        <w:rPr>
          <w:rFonts w:hint="eastAsia" w:cs="Times New Roman"/>
          <w:color w:val="000000" w:themeColor="text1"/>
          <w14:textFill>
            <w14:solidFill>
              <w14:schemeClr w14:val="tx1"/>
            </w14:solidFill>
          </w14:textFill>
        </w:rPr>
        <w:t>单体连续化生产、</w:t>
      </w:r>
      <w:r>
        <w:rPr>
          <w:rFonts w:cs="Times New Roman"/>
          <w:color w:val="000000" w:themeColor="text1"/>
          <w14:textFill>
            <w14:solidFill>
              <w14:schemeClr w14:val="tx1"/>
            </w14:solidFill>
          </w14:textFill>
        </w:rPr>
        <w:t>PEEK</w:t>
      </w:r>
      <w:r>
        <w:rPr>
          <w:rFonts w:hint="eastAsia" w:cs="Times New Roman"/>
          <w:color w:val="000000" w:themeColor="text1"/>
          <w14:textFill>
            <w14:solidFill>
              <w14:schemeClr w14:val="tx1"/>
            </w14:solidFill>
          </w14:textFill>
        </w:rPr>
        <w:t>连续聚合工艺稳定性及碳纤维增强复合材料制备等关键技术；深化</w:t>
      </w:r>
      <w:r>
        <w:rPr>
          <w:rFonts w:cs="Times New Roman"/>
          <w:color w:val="000000" w:themeColor="text1"/>
          <w14:textFill>
            <w14:solidFill>
              <w14:schemeClr w14:val="tx1"/>
            </w14:solidFill>
          </w14:textFill>
        </w:rPr>
        <w:t>AI</w:t>
      </w:r>
      <w:r>
        <w:rPr>
          <w:rFonts w:hint="eastAsia" w:cs="Times New Roman"/>
          <w:color w:val="000000" w:themeColor="text1"/>
          <w14:textFill>
            <w14:solidFill>
              <w14:schemeClr w14:val="tx1"/>
            </w14:solidFill>
          </w14:textFill>
        </w:rPr>
        <w:t>辅助配方优化与工艺控制，实现</w:t>
      </w:r>
      <w:r>
        <w:rPr>
          <w:rFonts w:cs="Times New Roman"/>
          <w:color w:val="000000" w:themeColor="text1"/>
          <w14:textFill>
            <w14:solidFill>
              <w14:schemeClr w14:val="tx1"/>
            </w14:solidFill>
          </w14:textFill>
        </w:rPr>
        <w:t>PEEK</w:t>
      </w:r>
      <w:r>
        <w:rPr>
          <w:rFonts w:hint="eastAsia" w:cs="Times New Roman"/>
          <w:color w:val="000000" w:themeColor="text1"/>
          <w14:textFill>
            <w14:solidFill>
              <w14:schemeClr w14:val="tx1"/>
            </w14:solidFill>
          </w14:textFill>
        </w:rPr>
        <w:t>树脂、</w:t>
      </w:r>
      <w:r>
        <w:rPr>
          <w:rFonts w:cs="Times New Roman"/>
          <w:color w:val="000000" w:themeColor="text1"/>
          <w14:textFill>
            <w14:solidFill>
              <w14:schemeClr w14:val="tx1"/>
            </w14:solidFill>
          </w14:textFill>
        </w:rPr>
        <w:t>DFBP</w:t>
      </w:r>
      <w:r>
        <w:rPr>
          <w:rFonts w:hint="eastAsia" w:cs="Times New Roman"/>
          <w:color w:val="000000" w:themeColor="text1"/>
          <w14:textFill>
            <w14:solidFill>
              <w14:schemeClr w14:val="tx1"/>
            </w14:solidFill>
          </w14:textFill>
        </w:rPr>
        <w:t>单体及高性能复合材料的国产化自主供应；通过技术创新与产业链协同，推动其在人形机器人、新能源汽车、航空航天、医疗植入物、电子半导体等高端领域规模化应用，打破国外威格斯、索尔维等企业的技术垄断，实现关键新材料自主可控。</w:t>
      </w:r>
    </w:p>
    <w:p w14:paraId="2DE8E27D">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w:t>
      </w:r>
      <w:r>
        <w:rPr>
          <w:b/>
          <w:bCs w:val="0"/>
          <w:color w:val="000000" w:themeColor="text1"/>
          <w14:textFill>
            <w14:solidFill>
              <w14:schemeClr w14:val="tx1"/>
            </w14:solidFill>
          </w14:textFill>
        </w:rPr>
        <w:t>8</w:t>
      </w:r>
      <w:r>
        <w:rPr>
          <w:rFonts w:hint="eastAsia"/>
          <w:b/>
          <w:bCs w:val="0"/>
          <w:color w:val="000000" w:themeColor="text1"/>
          <w14:textFill>
            <w14:solidFill>
              <w14:schemeClr w14:val="tx1"/>
            </w14:solidFill>
          </w14:textFill>
        </w:rPr>
        <w:t>：环烯烃聚合物（COP）树脂绿色制造及关键技术研发</w:t>
      </w:r>
    </w:p>
    <w:p w14:paraId="6D8C7A82">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w:t>
      </w:r>
      <w:r>
        <w:rPr>
          <w:rFonts w:cs="Times New Roman"/>
          <w:color w:val="000000" w:themeColor="text1"/>
          <w14:textFill>
            <w14:solidFill>
              <w14:schemeClr w14:val="tx1"/>
            </w14:solidFill>
          </w14:textFill>
        </w:rPr>
        <w:t>环烯烃聚合物（COP）产业存在的核心痛点——多环单体合成、聚合调控、高压氢化等关键技术瓶颈突出，且国内COP材料高度依赖进口的问题</w:t>
      </w:r>
      <w:r>
        <w:rPr>
          <w:rFonts w:hint="eastAsia" w:cs="Times New Roman"/>
          <w:color w:val="000000" w:themeColor="text1"/>
          <w14:textFill>
            <w14:solidFill>
              <w14:schemeClr w14:val="tx1"/>
            </w14:solidFill>
          </w14:textFill>
        </w:rPr>
        <w:t>，通过</w:t>
      </w:r>
      <w:r>
        <w:rPr>
          <w:rFonts w:cs="Times New Roman"/>
          <w:color w:val="000000" w:themeColor="text1"/>
          <w14:textFill>
            <w14:solidFill>
              <w14:schemeClr w14:val="tx1"/>
            </w14:solidFill>
          </w14:textFill>
        </w:rPr>
        <w:t>研发多环单体连续化合成及撤热技术，实现从实验室公斤级到工业百吨级生产跨越；开展开环易位聚合（ROMP）领域研究，研发高活性、高选择性催化体系，精准调控聚合物相关指标；攻克高压氢化及后处理核心技术，保障产品关键指标达标；构建全流程质量追溯体系，联合下游头部企业开展高端应用验证，同步推进绿色低碳制造与COP材料回收再生技术研究。最终实现COP材料从分子设计到终端应用的全链条技术突破与产业化落地，构建完善的质量管控与应用验证体系，实现规模化、高品质生产，推动国产化替代与产业升级，提升我国在特种高分子材料领域的核心竞争力。</w:t>
      </w:r>
    </w:p>
    <w:p w14:paraId="704E1805">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指南9：高性能氢化石油树脂规模化制备与应用</w:t>
      </w:r>
    </w:p>
    <w:p w14:paraId="0D0E0541">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氢化石油树脂具备色泽透明、无异味、相容性优异、耐候性突出及热稳定性良好等核心性能。重点突破热聚分子结构调控、多级催化加氢杂质脱除及连续化生产工艺等关键技术；通过攻克原料多样化适配、催化加氢高选择性等工艺瓶颈，构建稳定连续的生产工艺，实现氢化石油树脂低色度、低气味及良好相容性的稳定控制，并满足功能化改性需求。同时，拓展其在卫生材料、汽车内饰、光学膜及高性能包装材料等领域的应用。该技术路线能够有效保障重点产业链的强链补链需求，打破国外高端氢化石油树脂产品的技术垄断，实现关键原材料的自主可控与国产化替代。</w:t>
      </w:r>
    </w:p>
    <w:p w14:paraId="78A08A21">
      <w:pPr>
        <w:pStyle w:val="22"/>
        <w:ind w:left="0" w:leftChars="0" w:firstLine="640"/>
        <w:rPr>
          <w:color w:val="000000" w:themeColor="text1"/>
          <w14:textFill>
            <w14:solidFill>
              <w14:schemeClr w14:val="tx1"/>
            </w14:solidFill>
          </w14:textFill>
        </w:rPr>
      </w:pPr>
      <w:r>
        <w:rPr>
          <w:color w:val="000000" w:themeColor="text1"/>
          <w14:textFill>
            <w14:solidFill>
              <w14:schemeClr w14:val="tx1"/>
            </w14:solidFill>
          </w14:textFill>
        </w:rPr>
        <w:t>特种合成橡胶</w:t>
      </w:r>
    </w:p>
    <w:p w14:paraId="77FA9BE7">
      <w:pPr>
        <w:pStyle w:val="23"/>
        <w:numPr>
          <w:ilvl w:val="0"/>
          <w:numId w:val="0"/>
        </w:numPr>
        <w:ind w:firstLine="643" w:firstLineChars="200"/>
        <w:rPr>
          <w:b/>
          <w:bCs w:val="0"/>
          <w:color w:val="000000" w:themeColor="text1"/>
          <w14:textFill>
            <w14:solidFill>
              <w14:schemeClr w14:val="tx1"/>
            </w14:solidFill>
          </w14:textFill>
        </w:rPr>
      </w:pPr>
      <w:bookmarkStart w:id="62" w:name="_Hlk193356119"/>
      <w:r>
        <w:rPr>
          <w:rFonts w:hint="eastAsia"/>
          <w:b/>
          <w:bCs w:val="0"/>
          <w:color w:val="000000" w:themeColor="text1"/>
          <w14:textFill>
            <w14:solidFill>
              <w14:schemeClr w14:val="tx1"/>
            </w14:solidFill>
          </w14:textFill>
        </w:rPr>
        <w:t>指南</w:t>
      </w:r>
      <w:r>
        <w:rPr>
          <w:b/>
          <w:bCs w:val="0"/>
          <w:color w:val="000000" w:themeColor="text1"/>
          <w14:textFill>
            <w14:solidFill>
              <w14:schemeClr w14:val="tx1"/>
            </w14:solidFill>
          </w14:textFill>
        </w:rPr>
        <w:t>10</w:t>
      </w:r>
      <w:r>
        <w:rPr>
          <w:rFonts w:hint="eastAsia"/>
          <w:b/>
          <w:bCs w:val="0"/>
          <w:color w:val="000000" w:themeColor="text1"/>
          <w14:textFill>
            <w14:solidFill>
              <w14:schemeClr w14:val="tx1"/>
            </w14:solidFill>
          </w14:textFill>
        </w:rPr>
        <w:t>：阴离子液体橡胶高效合成与多功能应用技术开发</w:t>
      </w:r>
    </w:p>
    <w:p w14:paraId="067BD64A">
      <w:pPr>
        <w:ind w:firstLine="640"/>
        <w:rPr>
          <w:color w:val="000000" w:themeColor="text1"/>
          <w14:textFill>
            <w14:solidFill>
              <w14:schemeClr w14:val="tx1"/>
            </w14:solidFill>
          </w14:textFill>
        </w:rPr>
      </w:pPr>
      <w:r>
        <w:rPr>
          <w:color w:val="000000" w:themeColor="text1"/>
          <w14:textFill>
            <w14:solidFill>
              <w14:schemeClr w14:val="tx1"/>
            </w14:solidFill>
          </w14:textFill>
        </w:rPr>
        <w:t>围绕绿色原料替代战略，重点开发绿色基料液体聚丁二烯橡胶单体高效制备技术，攻克单体纯度低、聚合活性差等关键技术瓶颈；研究可控自由基聚合、离子液体催化等绿色合成工艺，实现液体聚丁二烯等液体橡胶的分子量精准调控与功能化改性；并拓展其在高性能轮胎、5G覆铜板及火箭燃料等高端领域的应用，布局高端制造与航天航空应用场景，技术路线契合国家“双碳”政策导向，兼具产业价值与战略意义。</w:t>
      </w:r>
    </w:p>
    <w:p w14:paraId="5F3CF0C5">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指南11：高性能热塑性弹性体（TPE）研发与应用</w:t>
      </w:r>
    </w:p>
    <w:p w14:paraId="1713309A">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热塑性弹性体（TPE）高弹性、耐温性、耐化学腐蚀等核心性能，重点突破高效节能合成新工艺、生物基/可再生原料替代和预分散橡胶助剂研发生产；通过技术创新与产业链协同，实现其在汽车轻量化部件、高端医疗器械、智能穿戴设备、环保包装及建筑密封材料等领域规模化应用，打破国外技术垄断，推动TPE产业向高附加值、低环境负荷、可持续方向升级。</w:t>
      </w:r>
    </w:p>
    <w:bookmarkEnd w:id="62"/>
    <w:p w14:paraId="0429CE40">
      <w:pPr>
        <w:ind w:firstLine="640"/>
        <w:rPr>
          <w:color w:val="000000" w:themeColor="text1"/>
          <w14:textFill>
            <w14:solidFill>
              <w14:schemeClr w14:val="tx1"/>
            </w14:solidFill>
          </w14:textFill>
        </w:rPr>
      </w:pPr>
      <w:r>
        <w:rPr>
          <w:rFonts w:eastAsia="楷体" w:cs="Times New Roman"/>
          <w:bCs/>
          <w:color w:val="000000" w:themeColor="text1"/>
          <w:kern w:val="0"/>
          <w:szCs w:val="28"/>
          <w14:textFill>
            <w14:solidFill>
              <w14:schemeClr w14:val="tx1"/>
            </w14:solidFill>
          </w14:textFill>
        </w:rPr>
        <w:t>14.3其它</w:t>
      </w:r>
    </w:p>
    <w:p w14:paraId="0D5A4FB6">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指南12：电子级环氧氯丙烷制备与应用</w:t>
      </w:r>
    </w:p>
    <w:p w14:paraId="6D8E5996">
      <w:pPr>
        <w:pStyle w:val="36"/>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环氧氯丙烷高纯度，低杂质、低色度及优质品率等核心性能，重点突破甘油法绿色合成、高性能催化剂制备、高效提纯、废水资源化处理及资源闭环再生等关键技术；深化全流程智能化管控与绿色低碳循环工艺，围绕高纯化、低碳化、场景高适配性等核心属性，实现新能源、电子信息、高端化工等领域国产化替代，打破国际巨头长期垄断；依托自主知识产权技术创新与产业链协同，推动产品多领域规模化应用，构建全链条自主可控的高纯度环氧氯丙烷产业链，打造化工领域新质生产力标杆实践。</w:t>
      </w:r>
    </w:p>
    <w:p w14:paraId="5A152203">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指南13：高导热聚氨酯（PU）规模化制备与应用</w:t>
      </w:r>
    </w:p>
    <w:p w14:paraId="3B4F7EDD">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聚氨酯高弹性、耐磨性、耐油性、高导热及耐低温等核心性能，重点突破低密度、高粘结强度、高耐老化、高导热材料开发；深化AI驱动的发泡工艺优化与绿色制造，围绕高性能、低碳化、智能化等产品属性特点，实现高端胶粘剂、高性能涂料、发泡材料等产品国产化；通过材料创新与工艺升级，推动其在5G基站、消费电子等领域规模化应用，填补市场空白。</w:t>
      </w:r>
    </w:p>
    <w:p w14:paraId="7CD67989">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w:t>
      </w:r>
      <w:r>
        <w:rPr>
          <w:b/>
          <w:bCs w:val="0"/>
          <w:color w:val="000000" w:themeColor="text1"/>
          <w14:textFill>
            <w14:solidFill>
              <w14:schemeClr w14:val="tx1"/>
            </w14:solidFill>
          </w14:textFill>
        </w:rPr>
        <w:t>14</w:t>
      </w:r>
      <w:r>
        <w:rPr>
          <w:rFonts w:hint="eastAsia"/>
          <w:b/>
          <w:bCs w:val="0"/>
          <w:color w:val="000000" w:themeColor="text1"/>
          <w14:textFill>
            <w14:solidFill>
              <w14:schemeClr w14:val="tx1"/>
            </w14:solidFill>
          </w14:textFill>
        </w:rPr>
        <w:t>：万吨级低缺陷滚塑功能高分子粉末智能制造</w:t>
      </w:r>
    </w:p>
    <w:p w14:paraId="1BB072B4">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聚焦滚塑加工在航空航天、国防建设、海洋工程及新能源等领域对功能高分子粉末的迫切需求，聚焦高稳定性、高洁净度等新材料属性，满足高温高压、极端温变等恶劣服役环境下对材料超低质量缺陷的苛刻要求，实现自主可控的加工过程，支撑高质量发展；开展低碳化、自动化与无废化深度融合的智造集成技术研究。最终完成相关产品的</w:t>
      </w:r>
      <w:r>
        <w:rPr>
          <w:rFonts w:cs="Times New Roman"/>
          <w:color w:val="000000" w:themeColor="text1"/>
          <w14:textFill>
            <w14:solidFill>
              <w14:schemeClr w14:val="tx1"/>
            </w14:solidFill>
          </w14:textFill>
        </w:rPr>
        <w:t>万</w:t>
      </w:r>
      <w:r>
        <w:rPr>
          <w:rFonts w:hint="eastAsia" w:cs="Times New Roman"/>
          <w:color w:val="000000" w:themeColor="text1"/>
          <w14:textFill>
            <w14:solidFill>
              <w14:schemeClr w14:val="tx1"/>
            </w14:solidFill>
          </w14:textFill>
        </w:rPr>
        <w:t>吨级规模化制备，并通过产业链协同与应用验证，推动其在关键领域的规模化应用。</w:t>
      </w:r>
    </w:p>
    <w:p w14:paraId="720BA934">
      <w:pPr>
        <w:autoSpaceDE w:val="0"/>
        <w:ind w:firstLine="643"/>
        <w:rPr>
          <w:rFonts w:cs="Times New Roman"/>
          <w:b/>
          <w:color w:val="000000" w:themeColor="text1"/>
          <w:kern w:val="0"/>
          <w:szCs w:val="28"/>
          <w14:textFill>
            <w14:solidFill>
              <w14:schemeClr w14:val="tx1"/>
            </w14:solidFill>
          </w14:textFill>
        </w:rPr>
      </w:pPr>
      <w:r>
        <w:rPr>
          <w:rFonts w:cs="Times New Roman"/>
          <w:b/>
          <w:color w:val="000000" w:themeColor="text1"/>
          <w:kern w:val="0"/>
          <w:szCs w:val="28"/>
          <w14:textFill>
            <w14:solidFill>
              <w14:schemeClr w14:val="tx1"/>
            </w14:solidFill>
          </w14:textFill>
        </w:rPr>
        <w:t>指南15：可降解聚乳酸规模化制备与无害化应用</w:t>
      </w:r>
    </w:p>
    <w:p w14:paraId="5B5A17DE">
      <w:pPr>
        <w:pStyle w:val="41"/>
        <w:widowControl/>
        <w:ind w:firstLine="640"/>
        <w:rPr>
          <w:rFonts w:eastAsia="仿宋_GB2312"/>
          <w:color w:val="000000" w:themeColor="text1"/>
          <w:szCs w:val="24"/>
          <w14:textFill>
            <w14:solidFill>
              <w14:schemeClr w14:val="tx1"/>
            </w14:solidFill>
          </w14:textFill>
        </w:rPr>
      </w:pPr>
      <w:r>
        <w:rPr>
          <w:rFonts w:eastAsia="仿宋_GB2312"/>
          <w:color w:val="000000" w:themeColor="text1"/>
          <w:szCs w:val="24"/>
          <w14:textFill>
            <w14:solidFill>
              <w14:schemeClr w14:val="tx1"/>
            </w14:solidFill>
          </w14:textFill>
        </w:rPr>
        <w:t>聚焦聚乳酸（PLA）高降解率、耐温性、高机械强度、食品安全性及低成本化等核心性能，重点突破耐高温共聚改性、纳米填料增强、可控降解技术及农业废弃物原料转化；深化AI驱动生产工艺与绿色循环体系，围绕耐高温、全降解、低碳化等产品属性，实现餐饮包装国产化替代。通过技术创新与产业链协同，推动其在餐饮包装、家居日用等领域的规模化应用，突破国际技术壁垒，实现餐饮用具无害化应用。</w:t>
      </w:r>
    </w:p>
    <w:p w14:paraId="24A16025">
      <w:pPr>
        <w:autoSpaceDE w:val="0"/>
        <w:ind w:firstLine="643"/>
        <w:rPr>
          <w:rFonts w:ascii="楷体_GB2312" w:eastAsia="楷体_GB2312" w:cs="楷体_GB2312"/>
          <w:color w:val="000000" w:themeColor="text1"/>
          <w:sz w:val="30"/>
          <w:szCs w:val="30"/>
          <w14:textFill>
            <w14:solidFill>
              <w14:schemeClr w14:val="tx1"/>
            </w14:solidFill>
          </w14:textFill>
        </w:rPr>
      </w:pPr>
      <w:r>
        <w:rPr>
          <w:rFonts w:cs="Times New Roman"/>
          <w:b/>
          <w:color w:val="000000" w:themeColor="text1"/>
          <w:kern w:val="0"/>
          <w:szCs w:val="28"/>
          <w14:textFill>
            <w14:solidFill>
              <w14:schemeClr w14:val="tx1"/>
            </w14:solidFill>
          </w14:textFill>
        </w:rPr>
        <w:t>指南16：高性能聚合物超临界微孔发泡材料研发及产业化</w:t>
      </w:r>
    </w:p>
    <w:p w14:paraId="2B063A1A">
      <w:pPr>
        <w:autoSpaceDE w:val="0"/>
        <w:ind w:firstLine="600"/>
        <w:rPr>
          <w:rFonts w:ascii="仿宋_GB2312" w:hAnsi="Calibri" w:cs="仿宋_GB2312"/>
          <w:color w:val="000000" w:themeColor="text1"/>
          <w:sz w:val="30"/>
          <w:szCs w:val="30"/>
          <w:lang w:bidi="ar"/>
          <w14:textFill>
            <w14:solidFill>
              <w14:schemeClr w14:val="tx1"/>
            </w14:solidFill>
          </w14:textFill>
        </w:rPr>
      </w:pPr>
      <w:r>
        <w:rPr>
          <w:rFonts w:ascii="仿宋_GB2312" w:hAnsi="Calibri" w:cs="仿宋_GB2312"/>
          <w:color w:val="000000" w:themeColor="text1"/>
          <w:sz w:val="30"/>
          <w:szCs w:val="30"/>
          <w:lang w:bidi="ar"/>
          <w14:textFill>
            <w14:solidFill>
              <w14:schemeClr w14:val="tx1"/>
            </w14:solidFill>
          </w14:textFill>
        </w:rPr>
        <w:t>聚焦高性能聚合物微孔发泡材料轻量化、高比强度、缓冲吸能、低挥发性有机物及循环利用等核心性能，重点突破超临界流体浸渍传质、泡孔成核与生长调控、温度场与压力场精准协同控制、高倍率低收缩成型、功能助剂复配及规模化稳定生产等关键技术；开发高性能聚丙烯、聚烯烃弹性体、生物可降解聚酯等系列微孔发泡材料，构建不使用化学发泡剂、低排放、低残留、可循环利用的绿色制造技术体系；通过材料、工艺、装备和应用协同创新，推动相关产品在新能源汽车及储能电池缓冲防护、汽车轻量化、复合材料结构芯材、高端绿色包装、运动健康防护等领域规模化应用，提升高端聚合物微孔材料国产化水平和产业链自主可控能力。</w:t>
      </w:r>
    </w:p>
    <w:p w14:paraId="633C543F">
      <w:pPr>
        <w:autoSpaceDE w:val="0"/>
        <w:ind w:firstLine="643"/>
        <w:rPr>
          <w:rFonts w:cs="Times New Roman"/>
          <w:b/>
          <w:color w:val="000000" w:themeColor="text1"/>
          <w:kern w:val="0"/>
          <w:szCs w:val="28"/>
          <w14:textFill>
            <w14:solidFill>
              <w14:schemeClr w14:val="tx1"/>
            </w14:solidFill>
          </w14:textFill>
        </w:rPr>
      </w:pPr>
      <w:r>
        <w:rPr>
          <w:rFonts w:cs="Times New Roman"/>
          <w:b/>
          <w:color w:val="000000" w:themeColor="text1"/>
          <w:kern w:val="0"/>
          <w:szCs w:val="28"/>
          <w14:textFill>
            <w14:solidFill>
              <w14:schemeClr w14:val="tx1"/>
            </w14:solidFill>
          </w14:textFill>
        </w:rPr>
        <w:t>指南17：面向半导体工业过程高性能液体分离膜开发与应用</w:t>
      </w:r>
    </w:p>
    <w:p w14:paraId="4E07AE4B">
      <w:pPr>
        <w:autoSpaceDE w:val="0"/>
        <w:ind w:firstLine="600"/>
        <w:rPr>
          <w:rFonts w:ascii="仿宋_GB2312" w:hAnsi="Calibri" w:cs="仿宋_GB2312"/>
          <w:color w:val="000000" w:themeColor="text1"/>
          <w:sz w:val="30"/>
          <w:szCs w:val="30"/>
          <w:lang w:bidi="ar"/>
          <w14:textFill>
            <w14:solidFill>
              <w14:schemeClr w14:val="tx1"/>
            </w14:solidFill>
          </w14:textFill>
        </w:rPr>
      </w:pPr>
      <w:r>
        <w:rPr>
          <w:rFonts w:ascii="仿宋_GB2312" w:hAnsi="Calibri" w:cs="仿宋_GB2312"/>
          <w:color w:val="000000" w:themeColor="text1"/>
          <w:sz w:val="30"/>
          <w:szCs w:val="30"/>
          <w:lang w:bidi="ar"/>
          <w14:textFill>
            <w14:solidFill>
              <w14:schemeClr w14:val="tx1"/>
            </w14:solidFill>
          </w14:textFill>
        </w:rPr>
        <w:t>面向微电子半导体工业超纯水制备过程，聚焦高性能液体分离膜的小分子截留率、化学清洗稳定性、元件机械强度等核心性能，重点突破胺/醇类小分子靶向截留、规模化无缺陷界面聚合、分子级修复后处理、高强度元件卷制等技术；深化自动化、数字化、智能化膜生产制造与流程，围绕高选择性、高稳定性、低成本化等产品属性，实现超纯水系统核心分离膜元件的国产化替代；通过材料创新与工艺升级，推动国产分离膜在存储芯片制造、大硅片生产、化合物半导体加工等领域的规模化应用，助力构建自主可控、安全高效的半导体工业过程产业链。</w:t>
      </w:r>
    </w:p>
    <w:p w14:paraId="56E9AD5D">
      <w:pPr>
        <w:ind w:firstLine="640"/>
        <w:rPr>
          <w:rFonts w:cs="Times New Roman"/>
          <w:color w:val="000000" w:themeColor="text1"/>
          <w14:textFill>
            <w14:solidFill>
              <w14:schemeClr w14:val="tx1"/>
            </w14:solidFill>
          </w14:textFill>
        </w:rPr>
      </w:pPr>
    </w:p>
    <w:p w14:paraId="6409CB55">
      <w:pPr>
        <w:ind w:firstLine="643"/>
        <w:rPr>
          <w:rFonts w:eastAsia="黑体" w:cs="Times New Roman"/>
          <w:b/>
          <w:bCs/>
          <w:color w:val="000000" w:themeColor="text1"/>
          <w:kern w:val="0"/>
          <w:szCs w:val="28"/>
          <w14:textFill>
            <w14:solidFill>
              <w14:schemeClr w14:val="tx1"/>
            </w14:solidFill>
          </w14:textFill>
        </w:rPr>
      </w:pPr>
      <w:r>
        <w:rPr>
          <w:rFonts w:cs="Times New Roman"/>
          <w:b/>
          <w:bCs/>
          <w:color w:val="000000" w:themeColor="text1"/>
          <w:kern w:val="0"/>
          <w:szCs w:val="28"/>
          <w14:textFill>
            <w14:solidFill>
              <w14:schemeClr w14:val="tx1"/>
            </w14:solidFill>
          </w14:textFill>
        </w:rPr>
        <w:br w:type="page"/>
      </w:r>
    </w:p>
    <w:p w14:paraId="09AB85A4">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63" w:name="_Toc955412468"/>
      <w:bookmarkStart w:id="64" w:name="_Toc640061256"/>
      <w:r>
        <w:rPr>
          <w:rFonts w:hint="default" w:ascii="Times New Roman" w:hAnsi="Times New Roman"/>
          <w:color w:val="000000" w:themeColor="text1"/>
          <w14:textFill>
            <w14:solidFill>
              <w14:schemeClr w14:val="tx1"/>
            </w14:solidFill>
          </w14:textFill>
        </w:rPr>
        <w:t>磁性材料产业</w:t>
      </w:r>
      <w:r>
        <w:rPr>
          <w:rFonts w:ascii="Times New Roman" w:hAnsi="Times New Roman"/>
          <w:color w:val="000000" w:themeColor="text1"/>
          <w14:textFill>
            <w14:solidFill>
              <w14:schemeClr w14:val="tx1"/>
            </w14:solidFill>
          </w14:textFill>
        </w:rPr>
        <w:t>链</w:t>
      </w:r>
      <w:bookmarkEnd w:id="63"/>
      <w:bookmarkEnd w:id="64"/>
    </w:p>
    <w:p w14:paraId="14857E37">
      <w:pPr>
        <w:ind w:firstLine="64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磁性材料产业链上游主要包括稀土矿开采、分离及冶炼；中游包括磁性材料及器件的生产供应，稀土永磁材料（钕铁硼、钐钴）、软磁材料、其他磁材以及器件（永磁电机、磁性器件、磁电子器件）；下游则包括风力发电、消费电子、高端医疗设备及航空航天设备等应用领域。</w:t>
      </w:r>
    </w:p>
    <w:p w14:paraId="501B46DB">
      <w:pPr>
        <w:ind w:firstLine="64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本次“指南”主要聚焦于磁性材料产业链中游的钐钴（SmCo）永磁体、钕铁硼（NdFeB）永磁体及稀土金属合金等磁性材料、磁性器件、永磁电机及磁力设备等。具体如下：</w:t>
      </w:r>
    </w:p>
    <w:p w14:paraId="2C7D0B6B">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指南1：钐钴（SmCo）永磁体的制备关键技术及应用</w:t>
      </w:r>
    </w:p>
    <w:p w14:paraId="76AB4748">
      <w:pPr>
        <w:ind w:firstLine="640"/>
        <w:jc w:val="left"/>
        <w:rPr>
          <w:rFonts w:cs="Times New Roman"/>
          <w:color w:val="000000" w:themeColor="text1"/>
          <w:szCs w:val="22"/>
          <w14:textFill>
            <w14:solidFill>
              <w14:schemeClr w14:val="tx1"/>
            </w14:solidFill>
          </w14:textFill>
        </w:rPr>
      </w:pPr>
      <w:r>
        <w:rPr>
          <w:rFonts w:cs="Times New Roman"/>
          <w:color w:val="000000" w:themeColor="text1"/>
          <w:szCs w:val="22"/>
          <w14:textFill>
            <w14:solidFill>
              <w14:schemeClr w14:val="tx1"/>
            </w14:solidFill>
          </w14:textFill>
        </w:rPr>
        <w:t>聚焦钐钴（SmCo）永磁体的磁性能、温度稳定性及耐腐蚀等关键性能，突破熔炼制锭、烧结工艺、微观结构调控及表面防护等关键核心技术，开展关键电机高综合性能稀土永磁体逆向回收、低碳再制造循环利用，实现稀土永磁体的低碳再制造与循环利用，显著提升永磁体产能、促进资源有效循环利用，满足稀土永磁电机、航空航天及极端环境等应用场景的严苛需求。</w:t>
      </w:r>
    </w:p>
    <w:p w14:paraId="697EC9B5">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指南2：钕铁硼（NdFeB）永磁体的制备关键技术及应用</w:t>
      </w:r>
    </w:p>
    <w:p w14:paraId="048F584E">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钕铁硼（NdFeB）永磁体的高剩磁（Br）、高矫顽力（Hc）、高磁能积（(BH)max）及耐高温性能等关键性能指标，优化铸片形核工艺、晶粒细化工艺、烧结曲线与晶界扩散、高端表面处理等工艺，改进稀土元素配比、调控微观结构及提升抗氧化能力，突破晶界扩散技术等关键核心技术，实现钕铁硼永磁体产品材料一致性、矫顽力、耐高温等性能提升，形成低重稀土高性能烧结钕铁硼永磁体大批量生产能力，推进钕铁硼永磁体满足下游机器人、风力发电等领域对稀土永磁材料的更高市场要求。</w:t>
      </w:r>
    </w:p>
    <w:p w14:paraId="1F28C437">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指南3：稀土金属合金的开发及应用</w:t>
      </w:r>
    </w:p>
    <w:p w14:paraId="17141F17">
      <w:pPr>
        <w:ind w:firstLine="640"/>
        <w:jc w:val="left"/>
        <w:rPr>
          <w:rFonts w:cs="Times New Roman"/>
          <w:color w:val="000000" w:themeColor="text1"/>
          <w:szCs w:val="22"/>
          <w14:textFill>
            <w14:solidFill>
              <w14:schemeClr w14:val="tx1"/>
            </w14:solidFill>
          </w14:textFill>
        </w:rPr>
      </w:pPr>
      <w:r>
        <w:rPr>
          <w:rFonts w:cs="Times New Roman"/>
          <w:color w:val="000000" w:themeColor="text1"/>
          <w:szCs w:val="22"/>
          <w14:textFill>
            <w14:solidFill>
              <w14:schemeClr w14:val="tx1"/>
            </w14:solidFill>
          </w14:textFill>
        </w:rPr>
        <w:t>聚焦稀土金属合金成分均匀性、纯净度及微观组织等性能属性，突破高纯度稀土金属的熔炼、合金化关键核心技术，实现可适应高性能永磁材料、储氢合金及特种合金应用特点的稀土金属合金，满足高端电子器件、永磁材料及新能源领域对稀土金属合金成分均匀性、纯净度及微观组织的要求，推进稀土材料在高性能电机、轻量化结构件等领域的国产化替代。</w:t>
      </w:r>
    </w:p>
    <w:p w14:paraId="1EF24CF5">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指南4：高性能磁性器件关键技术及应用研发</w:t>
      </w:r>
    </w:p>
    <w:p w14:paraId="48C53A46">
      <w:pPr>
        <w:ind w:firstLine="640"/>
        <w:jc w:val="left"/>
        <w:rPr>
          <w:rFonts w:cs="Times New Roman"/>
          <w:color w:val="000000" w:themeColor="text1"/>
          <w:szCs w:val="22"/>
          <w14:textFill>
            <w14:solidFill>
              <w14:schemeClr w14:val="tx1"/>
            </w14:solidFill>
          </w14:textFill>
        </w:rPr>
      </w:pPr>
      <w:r>
        <w:rPr>
          <w:rFonts w:cs="Times New Roman"/>
          <w:color w:val="000000" w:themeColor="text1"/>
          <w:szCs w:val="22"/>
          <w14:textFill>
            <w14:solidFill>
              <w14:schemeClr w14:val="tx1"/>
            </w14:solidFill>
          </w14:textFill>
        </w:rPr>
        <w:t>聚焦磁性器件高频低损耗、高磁导率、高温度稳定性、高能量转换效率、优异抗饱和能力、抗干扰能力及长期可靠性等关键性能，开展磁性材料与器件结构的匹配度试验，优化磁路设计、制造工艺和封装技术等，实现磁性器件磁场强度一致性、能量利用效率、温度稳定性、频率响应能力等性能提升，增强其在电机驱动、磁传感器、新能源车、人工智能、低空飞行器、电力电子以及工业自动化等领域的服务能力，推动相关领域的技术进步和应用拓展。</w:t>
      </w:r>
    </w:p>
    <w:p w14:paraId="5EF9A321">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指南5：永磁电机及其驱动控制产品关键技术及应用</w:t>
      </w:r>
    </w:p>
    <w:p w14:paraId="7B20A6A7">
      <w:pPr>
        <w:ind w:firstLine="640"/>
        <w:rPr>
          <w:rFonts w:cs="Times New Roman"/>
          <w:color w:val="000000" w:themeColor="text1"/>
          <w:szCs w:val="22"/>
          <w14:textFill>
            <w14:solidFill>
              <w14:schemeClr w14:val="tx1"/>
            </w14:solidFill>
          </w14:textFill>
        </w:rPr>
      </w:pPr>
      <w:r>
        <w:rPr>
          <w:rFonts w:cs="Times New Roman"/>
          <w:color w:val="000000" w:themeColor="text1"/>
          <w:szCs w:val="22"/>
          <w14:textFill>
            <w14:solidFill>
              <w14:schemeClr w14:val="tx1"/>
            </w14:solidFill>
          </w14:textFill>
        </w:rPr>
        <w:t>聚焦永磁电机的永磁材料利用率、电机效率、温升控制、电磁兼容、智能诊断、转矩波动抑制以及驱动系统的动态响应等关键性能，开展永磁体与电机结构的匹配度试验，优化电磁设计及控制算法，提高能量转换效率和运行稳定性，实现永磁电机及其驱动控制产品高端化，推动相关领域的技术进步和应用拓展。</w:t>
      </w:r>
    </w:p>
    <w:p w14:paraId="465B3346">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指南6：高端磁力设备关键技术及多领域应用</w:t>
      </w:r>
    </w:p>
    <w:p w14:paraId="5E0BB233">
      <w:pPr>
        <w:ind w:firstLine="640"/>
        <w:rPr>
          <w:color w:val="000000" w:themeColor="text1"/>
          <w14:textFill>
            <w14:solidFill>
              <w14:schemeClr w14:val="tx1"/>
            </w14:solidFill>
          </w14:textFill>
        </w:rPr>
      </w:pPr>
      <w:r>
        <w:rPr>
          <w:color w:val="000000" w:themeColor="text1"/>
          <w14:textFill>
            <w14:solidFill>
              <w14:schemeClr w14:val="tx1"/>
            </w14:solidFill>
          </w14:textFill>
        </w:rPr>
        <w:t>聚焦磁力设备尤其是磁共振磁体的磁场强度稳定性、温度漂移控制、能量转换效率以及磁场均匀性等关键性能，重点攻克高场磁共振磁体设计与制造、无液氦/少液氦超导磁体低温系统集成、大尺寸高均匀性主动屏蔽等核心技术。开展高性能永磁体、超导磁体、梯度线圈的匹配度试验，提升高精度电磁场、超低温低冷却、磁共振磁体测控技术的设计与工艺能力，验证提升设备在复杂工况下的可靠性与稳定性。加快超高场临床与科研型磁共振成像（MRI）装备核心部件的国产化进程，重点突破高场超导磁体、无液氦超导磁体的设计和工程化制备瓶颈，提升其在高端医疗影像设备领域的服务能力，推动相关领域的核心部件技术进步和应用拓展。</w:t>
      </w:r>
    </w:p>
    <w:p w14:paraId="2D191FC7">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7</w:t>
      </w:r>
      <w:r>
        <w:rPr>
          <w:b/>
          <w:bCs w:val="0"/>
          <w:color w:val="000000" w:themeColor="text1"/>
          <w14:textFill>
            <w14:solidFill>
              <w14:schemeClr w14:val="tx1"/>
            </w14:solidFill>
          </w14:textFill>
        </w:rPr>
        <w:t>：先进软磁材料的制备关键技术及</w:t>
      </w:r>
      <w:r>
        <w:rPr>
          <w:rFonts w:hint="eastAsia"/>
          <w:b/>
          <w:bCs w:val="0"/>
          <w:color w:val="000000" w:themeColor="text1"/>
          <w14:textFill>
            <w14:solidFill>
              <w14:schemeClr w14:val="tx1"/>
            </w14:solidFill>
          </w14:textFill>
        </w:rPr>
        <w:t>多领域</w:t>
      </w:r>
      <w:r>
        <w:rPr>
          <w:b/>
          <w:bCs w:val="0"/>
          <w:color w:val="000000" w:themeColor="text1"/>
          <w14:textFill>
            <w14:solidFill>
              <w14:schemeClr w14:val="tx1"/>
            </w14:solidFill>
          </w14:textFill>
        </w:rPr>
        <w:t>应用</w:t>
      </w:r>
    </w:p>
    <w:p w14:paraId="4119DD89">
      <w:pPr>
        <w:ind w:firstLine="640"/>
        <w:rPr>
          <w:color w:val="000000" w:themeColor="text1"/>
          <w14:textFill>
            <w14:solidFill>
              <w14:schemeClr w14:val="tx1"/>
            </w14:solidFill>
          </w14:textFill>
        </w:rPr>
      </w:pPr>
      <w:r>
        <w:rPr>
          <w:color w:val="000000" w:themeColor="text1"/>
          <w14:textFill>
            <w14:solidFill>
              <w14:schemeClr w14:val="tx1"/>
            </w14:solidFill>
          </w14:textFill>
        </w:rPr>
        <w:t>聚焦高牌号无取向硅钢</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高磁感取向硅钢超/极薄带、高磁感非晶合金带材</w:t>
      </w:r>
      <w:r>
        <w:rPr>
          <w:rFonts w:hint="eastAsia"/>
          <w:color w:val="000000" w:themeColor="text1"/>
          <w14:textFill>
            <w14:solidFill>
              <w14:schemeClr w14:val="tx1"/>
            </w14:solidFill>
          </w14:textFill>
        </w:rPr>
        <w:t>等先进软磁材料</w:t>
      </w:r>
      <w:r>
        <w:rPr>
          <w:color w:val="000000" w:themeColor="text1"/>
          <w14:textFill>
            <w14:solidFill>
              <w14:schemeClr w14:val="tx1"/>
            </w14:solidFill>
          </w14:textFill>
        </w:rPr>
        <w:t>低铁损、高磁</w:t>
      </w:r>
      <w:r>
        <w:rPr>
          <w:rFonts w:hint="eastAsia"/>
          <w:color w:val="000000" w:themeColor="text1"/>
          <w14:textFill>
            <w14:solidFill>
              <w14:schemeClr w14:val="tx1"/>
            </w14:solidFill>
          </w14:textFill>
        </w:rPr>
        <w:t>极化强度</w:t>
      </w:r>
      <w:r>
        <w:rPr>
          <w:color w:val="000000" w:themeColor="text1"/>
          <w14:textFill>
            <w14:solidFill>
              <w14:schemeClr w14:val="tx1"/>
            </w14:solidFill>
          </w14:textFill>
        </w:rPr>
        <w:t>等的关键性能指标，优化硅钢初次再结晶与二次再结晶的组织特征，以及宏观与微观织构及抑制剂分布特性，优化高磁感非晶合金带材成分、制造装备及工艺。研究影响磁性能的关键因素，揭示硅钢再结晶行为及其织构、组织演变规律，</w:t>
      </w:r>
      <w:r>
        <w:rPr>
          <w:rFonts w:hint="eastAsia"/>
          <w:color w:val="000000" w:themeColor="text1"/>
          <w14:textFill>
            <w14:solidFill>
              <w14:schemeClr w14:val="tx1"/>
            </w14:solidFill>
          </w14:textFill>
        </w:rPr>
        <w:t>突破</w:t>
      </w:r>
      <w:r>
        <w:rPr>
          <w:color w:val="000000" w:themeColor="text1"/>
          <w14:textFill>
            <w14:solidFill>
              <w14:schemeClr w14:val="tx1"/>
            </w14:solidFill>
          </w14:textFill>
        </w:rPr>
        <w:t>再结晶织构与组织的有效控制方法及工艺优化路径。采用宏观与微观相结合</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手段，</w:t>
      </w:r>
      <w:r>
        <w:rPr>
          <w:rFonts w:hint="eastAsia"/>
          <w:color w:val="000000" w:themeColor="text1"/>
          <w14:textFill>
            <w14:solidFill>
              <w14:schemeClr w14:val="tx1"/>
            </w14:solidFill>
          </w14:textFill>
        </w:rPr>
        <w:t>探明</w:t>
      </w:r>
      <w:r>
        <w:rPr>
          <w:color w:val="000000" w:themeColor="text1"/>
          <w14:textFill>
            <w14:solidFill>
              <w14:schemeClr w14:val="tx1"/>
            </w14:solidFill>
          </w14:textFill>
        </w:rPr>
        <w:t>硅钢变形—再结晶过程中Goss晶粒的起源与长大机制，提出提升Goss织构锋锐度与强度的策略。</w:t>
      </w:r>
      <w:r>
        <w:rPr>
          <w:rFonts w:ascii="仿宋_GB2312" w:hAnsi="Calibri" w:cs="仿宋_GB2312"/>
          <w:color w:val="000000" w:themeColor="text1"/>
          <w:szCs w:val="32"/>
          <w:lang w:bidi="ar"/>
          <w14:textFill>
            <w14:solidFill>
              <w14:schemeClr w14:val="tx1"/>
            </w14:solidFill>
          </w14:textFill>
        </w:rPr>
        <w:t>研究非晶合金晶化机制及钢液净化方法，突破高磁感非晶合金宽幅带材工业化制备技术与工艺。</w:t>
      </w:r>
      <w:r>
        <w:rPr>
          <w:color w:val="000000" w:themeColor="text1"/>
          <w14:textFill>
            <w14:solidFill>
              <w14:schemeClr w14:val="tx1"/>
            </w14:solidFill>
          </w14:textFill>
        </w:rPr>
        <w:t>构建</w:t>
      </w:r>
      <w:r>
        <w:rPr>
          <w:rFonts w:hint="eastAsia"/>
          <w:color w:val="000000" w:themeColor="text1"/>
          <w14:textFill>
            <w14:solidFill>
              <w14:schemeClr w14:val="tx1"/>
            </w14:solidFill>
          </w14:textFill>
        </w:rPr>
        <w:t>先进软磁材料</w:t>
      </w:r>
      <w:r>
        <w:rPr>
          <w:color w:val="000000" w:themeColor="text1"/>
          <w14:textFill>
            <w14:solidFill>
              <w14:schemeClr w14:val="tx1"/>
            </w14:solidFill>
          </w14:textFill>
        </w:rPr>
        <w:t>微结构精准调控及组织织构优化控制等核心技术，满足</w:t>
      </w:r>
      <w:r>
        <w:rPr>
          <w:rFonts w:hint="eastAsia"/>
          <w:color w:val="000000" w:themeColor="text1"/>
          <w14:textFill>
            <w14:solidFill>
              <w14:schemeClr w14:val="tx1"/>
            </w14:solidFill>
          </w14:textFill>
        </w:rPr>
        <w:t>人工智能（AI）、</w:t>
      </w:r>
      <w:r>
        <w:rPr>
          <w:color w:val="000000" w:themeColor="text1"/>
          <w14:textFill>
            <w14:solidFill>
              <w14:schemeClr w14:val="tx1"/>
            </w14:solidFill>
          </w14:textFill>
        </w:rPr>
        <w:t>新能源汽车、海风力发电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航空航天、军工</w:t>
      </w:r>
      <w:r>
        <w:rPr>
          <w:rFonts w:hint="eastAsia"/>
          <w:color w:val="000000" w:themeColor="text1"/>
          <w14:textFill>
            <w14:solidFill>
              <w14:schemeClr w14:val="tx1"/>
            </w14:solidFill>
          </w14:textFill>
        </w:rPr>
        <w:t>、低空经济、特高压工程、通信</w:t>
      </w:r>
      <w:r>
        <w:rPr>
          <w:color w:val="000000" w:themeColor="text1"/>
          <w14:textFill>
            <w14:solidFill>
              <w14:schemeClr w14:val="tx1"/>
            </w14:solidFill>
          </w14:textFill>
        </w:rPr>
        <w:t>等领域对更高性能软磁材料的应用需求。</w:t>
      </w:r>
    </w:p>
    <w:p w14:paraId="17941B45">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指南8：6N超高纯稀土氧化物的制备关键技术及应用</w:t>
      </w:r>
    </w:p>
    <w:p w14:paraId="13691D9B">
      <w:pPr>
        <w:ind w:firstLine="640"/>
        <w:rPr>
          <w:rFonts w:cs="Times New Roman"/>
          <w:color w:val="000000" w:themeColor="text1"/>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聚焦6N（99.9999%）超高纯稀土氧化物的超高纯度、低放射性、低金属杂质、粉体均匀性等关键性能，突破萃取、离子交换深度纯化、超净环境灼烧、痕量杂质精准控制等关键核心技术，开展光电靶材级重稀土提纯工艺优化、柔性定制化生产技术升级，实现6N超高纯稀土氧化物的稳定量产，促进稀土资源高效利用，满足光电靶材、激光晶体、半导体镀膜、医疗成像、光纤放大器等高端应用场景的需求。</w:t>
      </w:r>
    </w:p>
    <w:p w14:paraId="6213E92E">
      <w:pPr>
        <w:ind w:firstLine="640"/>
        <w:rPr>
          <w:rFonts w:cs="Times New Roman"/>
          <w:color w:val="000000" w:themeColor="text1"/>
          <w14:textFill>
            <w14:solidFill>
              <w14:schemeClr w14:val="tx1"/>
            </w14:solidFill>
          </w14:textFill>
        </w:rPr>
      </w:pPr>
    </w:p>
    <w:p w14:paraId="5575A457">
      <w:pPr>
        <w:ind w:firstLine="640"/>
        <w:rPr>
          <w:rFonts w:cs="Times New Roman"/>
          <w:color w:val="000000" w:themeColor="text1"/>
          <w14:textFill>
            <w14:solidFill>
              <w14:schemeClr w14:val="tx1"/>
            </w14:solidFill>
          </w14:textFill>
        </w:rPr>
        <w:sectPr>
          <w:pgSz w:w="11906" w:h="16838"/>
          <w:pgMar w:top="2098" w:right="1474" w:bottom="1814" w:left="1587" w:header="851" w:footer="992" w:gutter="0"/>
          <w:cols w:space="0" w:num="1"/>
          <w:docGrid w:type="lines" w:linePitch="312" w:charSpace="0"/>
        </w:sectPr>
      </w:pPr>
    </w:p>
    <w:p w14:paraId="20F26D77">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65" w:name="_Toc1908271535"/>
      <w:bookmarkStart w:id="66" w:name="_Toc707086993"/>
      <w:r>
        <w:rPr>
          <w:rFonts w:hint="default" w:ascii="Times New Roman" w:hAnsi="Times New Roman"/>
          <w:color w:val="000000" w:themeColor="text1"/>
          <w14:textFill>
            <w14:solidFill>
              <w14:schemeClr w14:val="tx1"/>
            </w14:solidFill>
          </w14:textFill>
        </w:rPr>
        <w:t>高端金属材料</w:t>
      </w:r>
      <w:r>
        <w:rPr>
          <w:rFonts w:ascii="Times New Roman" w:hAnsi="Times New Roman"/>
          <w:color w:val="000000" w:themeColor="text1"/>
          <w14:textFill>
            <w14:solidFill>
              <w14:schemeClr w14:val="tx1"/>
            </w14:solidFill>
          </w14:textFill>
        </w:rPr>
        <w:t>产业链</w:t>
      </w:r>
      <w:bookmarkEnd w:id="65"/>
      <w:bookmarkEnd w:id="66"/>
    </w:p>
    <w:p w14:paraId="130B9772">
      <w:pPr>
        <w:widowControl/>
        <w:ind w:firstLine="640"/>
        <w:rPr>
          <w:rFonts w:cs="仿宋_GB2312"/>
          <w:color w:val="000000" w:themeColor="text1"/>
          <w:szCs w:val="32"/>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高端金属合金材料</w:t>
      </w:r>
      <w:r>
        <w:rPr>
          <w:rFonts w:hint="eastAsia" w:cs="仿宋_GB2312"/>
          <w:color w:val="000000" w:themeColor="text1"/>
          <w:szCs w:val="32"/>
          <w14:textFill>
            <w14:solidFill>
              <w14:schemeClr w14:val="tx1"/>
            </w14:solidFill>
          </w14:textFill>
        </w:rPr>
        <w:t>是新一轮技术革命和经济转型的重要支撑，是</w:t>
      </w:r>
      <w:r>
        <w:rPr>
          <w:rFonts w:hint="eastAsia" w:cs="仿宋_GB2312"/>
          <w:color w:val="000000" w:themeColor="text1"/>
          <w:kern w:val="0"/>
          <w:szCs w:val="32"/>
          <w:lang w:bidi="ar"/>
          <w14:textFill>
            <w14:solidFill>
              <w14:schemeClr w14:val="tx1"/>
            </w14:solidFill>
          </w14:textFill>
        </w:rPr>
        <w:t>航空航天、新能源、高端装备、半导体等战略性新兴产业的关键基础材料。其产业链上游涵盖铁、铜、铝、钛、镍、钴、钼、钨、稀土等基础金属资源及高端熔炼、检测等装备；中游为高端合金的制备、加工与性能调控；下游延伸到航空航天、新能源、海洋工程、半导体等高端应用场景，并快速应用到人工智能（AI）、人形机器人、算力基础设施、低空经济等新兴领域。</w:t>
      </w:r>
    </w:p>
    <w:p w14:paraId="67F71D07">
      <w:pPr>
        <w:widowControl/>
        <w:ind w:firstLine="640"/>
        <w:rPr>
          <w:rFonts w:cs="仿宋_GB2312"/>
          <w:color w:val="000000" w:themeColor="text1"/>
          <w:szCs w:val="32"/>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本次“指南”主要聚焦于产业链中游的高端金属材料制备、国产化替代关键技术及产业化推广，具体如下：</w:t>
      </w:r>
    </w:p>
    <w:p w14:paraId="54420BE2">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指南1：高导易切削抗电弧铜合金材料关键技术及应用</w:t>
      </w:r>
    </w:p>
    <w:p w14:paraId="6E8AA6C6">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聚焦高压直流触头用抗电弧铜材高导电、高抗电弧烧蚀、高韧性等核心性能，重点突破抗电弧烧蚀机理、熔铸超低氧控制技术、抗电弧烧蚀相赋存状态及与基体界面调控技术，开发绿色制备工艺，实现铜材导电率、抗电弧烧蚀和韧性的协同提升，满足直流供电系统长期工作的高可靠性、高稳定性要求，推动其在新能源汽车电机供能系统、AI智算中心等领域规模化应用。</w:t>
      </w:r>
    </w:p>
    <w:p w14:paraId="4413A83D">
      <w:pPr>
        <w:pStyle w:val="23"/>
        <w:numPr>
          <w:ilvl w:val="0"/>
          <w:numId w:val="0"/>
        </w:numPr>
        <w:ind w:firstLine="643" w:firstLineChars="200"/>
        <w:rPr>
          <w:b/>
          <w:color w:val="000000" w:themeColor="text1"/>
          <w14:textFill>
            <w14:solidFill>
              <w14:schemeClr w14:val="tx1"/>
            </w14:solidFill>
          </w14:textFill>
        </w:rPr>
      </w:pPr>
      <w:r>
        <w:rPr>
          <w:rFonts w:hint="eastAsia"/>
          <w:b/>
          <w:color w:val="000000" w:themeColor="text1"/>
          <w14:textFill>
            <w14:solidFill>
              <w14:schemeClr w14:val="tx1"/>
            </w14:solidFill>
          </w14:textFill>
        </w:rPr>
        <w:t>指南2：高强耐磨铜合金材料关键技术及应用</w:t>
      </w:r>
    </w:p>
    <w:p w14:paraId="659B0F98">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聚焦高速重载轴套用高性能铜合金材料高强度、高耐磨、高耐蚀等核心性能，重点突破高合金含量铸坯均质铸造、热挤压空心厚壁管及多级变温热处理等技术难点，实现高强度、兼具耐磨抗爆、抗裂性、易加工、耐腐蚀、抗蠕变以及较高软化温度等特性，满足飞机起落架轴套、耐磨液压件、工程机械高压柱塞泵用耐磨铜合金、人形机器人关节等国产化要求，通过技术创新与产业链协同，推动其在航空航天、舰船、人形机器人等领域规模化应用。</w:t>
      </w:r>
    </w:p>
    <w:p w14:paraId="4CF72052">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指南3：高性能引线框架用铜合金带材关键技术及应用</w:t>
      </w:r>
    </w:p>
    <w:p w14:paraId="7E5AD7EA">
      <w:pPr>
        <w:ind w:firstLine="640"/>
        <w:rPr>
          <w:rFonts w:cs="仿宋_GB2312"/>
          <w:color w:val="000000" w:themeColor="text1"/>
          <w14:textFill>
            <w14:solidFill>
              <w14:schemeClr w14:val="tx1"/>
            </w14:solidFill>
          </w14:textFill>
        </w:rPr>
      </w:pPr>
      <w:r>
        <w:rPr>
          <w:rFonts w:hint="eastAsia" w:cs="仿宋_GB2312"/>
          <w:color w:val="000000" w:themeColor="text1"/>
          <w14:textFill>
            <w14:solidFill>
              <w14:schemeClr w14:val="tx1"/>
            </w14:solidFill>
          </w14:textFill>
        </w:rPr>
        <w:t>聚焦大规模集成电路引线框架用铜带高导电率、高强度、优越导热性、低残余应力、易封装等关键性能，研究合金成分-微观组织-力学/电性能-残余应力-形状尺寸之间的关联关系与交互作用机制，突破大规格合金铸锭非真空均质化半连续铸造、带材热/冷强变形及残余应力控制等产业化控制技术，开发综合关键性能强且优于国外同类进口材料的集成电路引线框架用铜带，建立稳定的生产线实现工业化生产，满足高端集成电路引线框架需求，推动国产集成电路芯片封装测评相关领域的技术进步和应用拓展。</w:t>
      </w:r>
    </w:p>
    <w:p w14:paraId="07774D9F">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指南4：新型高导耐热抗蠕变铝合金研发与应用</w:t>
      </w:r>
    </w:p>
    <w:p w14:paraId="6A956BC8">
      <w:pPr>
        <w:ind w:firstLine="640"/>
        <w:rPr>
          <w:rFonts w:cs="仿宋_GB2312"/>
          <w:color w:val="000000" w:themeColor="text1"/>
          <w14:textFill>
            <w14:solidFill>
              <w14:schemeClr w14:val="tx1"/>
            </w14:solidFill>
          </w14:textFill>
        </w:rPr>
      </w:pPr>
      <w:r>
        <w:rPr>
          <w:rFonts w:hint="eastAsia" w:cs="仿宋_GB2312"/>
          <w:color w:val="000000" w:themeColor="text1"/>
          <w14:textFill>
            <w14:solidFill>
              <w14:schemeClr w14:val="tx1"/>
            </w14:solidFill>
          </w14:textFill>
        </w:rPr>
        <w:t>聚焦新型高导耐热抗蠕变铝合金的耐热性、抗蠕变性、导电性及耐低温性等关键性能，基于数据驱动的微合金化元素调控材料的微观结构，突破非真空制备、连铸连轧及固溶时效等关键核心技术，显著提升材料的力电性能、耐热应力松弛性能及抗蠕变性能，实现新型铝合金的绿色制造及下游产业节能降耗需求，推动新能源、液冷、医疗电子等相关行业的绿色发展与技术进步。</w:t>
      </w:r>
    </w:p>
    <w:p w14:paraId="0CF3A68D">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5</w:t>
      </w:r>
      <w:r>
        <w:rPr>
          <w:b/>
          <w:bCs w:val="0"/>
          <w:color w:val="000000" w:themeColor="text1"/>
          <w14:textFill>
            <w14:solidFill>
              <w14:schemeClr w14:val="tx1"/>
            </w14:solidFill>
          </w14:textFill>
        </w:rPr>
        <w:t>：高端超细粉末材料制备关键技术及产业化</w:t>
      </w:r>
    </w:p>
    <w:p w14:paraId="30A79F77">
      <w:pPr>
        <w:widowControl/>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聚焦纳米级、亚微米级金属粉末材料（镍粉、铜粉、</w:t>
      </w:r>
      <w:r>
        <w:rPr>
          <w:rFonts w:hint="eastAsia" w:cs="Times New Roman"/>
          <w:color w:val="000000" w:themeColor="text1"/>
          <w14:textFill>
            <w14:solidFill>
              <w14:schemeClr w14:val="tx1"/>
            </w14:solidFill>
          </w14:textFill>
        </w:rPr>
        <w:t>银粉、</w:t>
      </w:r>
      <w:r>
        <w:rPr>
          <w:rFonts w:cs="Times New Roman"/>
          <w:color w:val="000000" w:themeColor="text1"/>
          <w14:textFill>
            <w14:solidFill>
              <w14:schemeClr w14:val="tx1"/>
            </w14:solidFill>
          </w14:textFill>
        </w:rPr>
        <w:t>合金粉等）的粒度精准调控、高球形度、低氧含量、优异分散性等关键性能，突破常压等离子体物理气相</w:t>
      </w:r>
      <w:r>
        <w:rPr>
          <w:rFonts w:hint="eastAsia" w:cs="Times New Roman"/>
          <w:color w:val="000000" w:themeColor="text1"/>
          <w14:textFill>
            <w14:solidFill>
              <w14:schemeClr w14:val="tx1"/>
            </w14:solidFill>
          </w14:textFill>
        </w:rPr>
        <w:t>冷凝</w:t>
      </w:r>
      <w:r>
        <w:rPr>
          <w:rFonts w:cs="Times New Roman"/>
          <w:color w:val="000000" w:themeColor="text1"/>
          <w14:textFill>
            <w14:solidFill>
              <w14:schemeClr w14:val="tx1"/>
            </w14:solidFill>
          </w14:textFill>
        </w:rPr>
        <w:t>法制备技术，实现制备过程无溶剂、低能耗、连续化。重点优化等离子体稳定控制、成核与生长动力学调控、表面改性及抗氧化处理等核心工艺，解决材料批次一致性、均匀性、规模化收集等产业化瓶颈，形成具有自主知识产权的绿色制备工艺与装备体系</w:t>
      </w:r>
      <w:r>
        <w:rPr>
          <w:rFonts w:hint="eastAsia" w:cs="Times New Roman"/>
          <w:color w:val="000000" w:themeColor="text1"/>
          <w14:textFill>
            <w14:solidFill>
              <w14:schemeClr w14:val="tx1"/>
            </w14:solidFill>
          </w14:textFill>
        </w:rPr>
        <w:t>，满足新一代信息技术、绿色能源、高端装备等领域对超细金属粉末材料的高性能、高可靠与低成本需求，提升产业链自主可控水平与整体竞争力。</w:t>
      </w:r>
    </w:p>
    <w:p w14:paraId="61594B2F">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w:t>
      </w:r>
      <w:r>
        <w:rPr>
          <w:rFonts w:hint="eastAsia"/>
          <w:b/>
          <w:bCs w:val="0"/>
          <w:color w:val="000000" w:themeColor="text1"/>
          <w14:textFill>
            <w14:solidFill>
              <w14:schemeClr w14:val="tx1"/>
            </w14:solidFill>
          </w14:textFill>
        </w:rPr>
        <w:t>6</w:t>
      </w:r>
      <w:r>
        <w:rPr>
          <w:b/>
          <w:bCs w:val="0"/>
          <w:color w:val="000000" w:themeColor="text1"/>
          <w14:textFill>
            <w14:solidFill>
              <w14:schemeClr w14:val="tx1"/>
            </w14:solidFill>
          </w14:textFill>
        </w:rPr>
        <w:t>：高端宽幅光亮不锈钢板技术及多领域应用</w:t>
      </w:r>
    </w:p>
    <w:p w14:paraId="5E1A2D1B">
      <w:pPr>
        <w:widowControl/>
        <w:ind w:firstLine="640"/>
        <w:rPr>
          <w:rFonts w:cs="仿宋_GB2312"/>
          <w:color w:val="000000" w:themeColor="text1"/>
          <w:kern w:val="0"/>
          <w:szCs w:val="32"/>
          <w:shd w:val="clear" w:color="auto" w:fill="FFFFFF"/>
          <w:lang w:bidi="ar"/>
          <w14:textFill>
            <w14:solidFill>
              <w14:schemeClr w14:val="tx1"/>
            </w14:solidFill>
          </w14:textFill>
        </w:rPr>
      </w:pPr>
      <w:r>
        <w:rPr>
          <w:rFonts w:hint="eastAsia" w:cs="仿宋_GB2312"/>
          <w:color w:val="000000" w:themeColor="text1"/>
          <w:kern w:val="0"/>
          <w:szCs w:val="32"/>
          <w:shd w:val="clear" w:color="auto" w:fill="FFFFFF"/>
          <w:lang w:bidi="ar"/>
          <w14:textFill>
            <w14:solidFill>
              <w14:schemeClr w14:val="tx1"/>
            </w14:solidFill>
          </w14:textFill>
        </w:rPr>
        <w:t>聚焦高端宽幅光亮（BA）不锈钢板高光泽、低粗糙度、高平直度、高延伸率关键性能要求，</w:t>
      </w:r>
      <w:r>
        <w:rPr>
          <w:rFonts w:hint="eastAsia" w:cs="仿宋_GB2312"/>
          <w:bCs/>
          <w:color w:val="000000" w:themeColor="text1"/>
          <w:szCs w:val="32"/>
          <w14:textFill>
            <w14:solidFill>
              <w14:schemeClr w14:val="tx1"/>
            </w14:solidFill>
          </w14:textFill>
        </w:rPr>
        <w:t>宽度规格达到 650mm 及以上，光泽度20</w:t>
      </w:r>
      <w:r>
        <w:rPr>
          <w:rFonts w:hint="eastAsia" w:cs="仿宋_GB2312"/>
          <w:bCs/>
          <w:color w:val="000000" w:themeColor="text1"/>
          <w:szCs w:val="32"/>
          <w:vertAlign w:val="superscript"/>
          <w14:textFill>
            <w14:solidFill>
              <w14:schemeClr w14:val="tx1"/>
            </w14:solidFill>
          </w14:textFill>
        </w:rPr>
        <w:t>o</w:t>
      </w:r>
      <w:r>
        <w:rPr>
          <w:rFonts w:hint="eastAsia" w:cs="仿宋_GB2312"/>
          <w:bCs/>
          <w:color w:val="000000" w:themeColor="text1"/>
          <w:szCs w:val="32"/>
          <w14:textFill>
            <w14:solidFill>
              <w14:schemeClr w14:val="tx1"/>
            </w14:solidFill>
          </w14:textFill>
        </w:rPr>
        <w:t>指标水平&gt;1050GU；粗糙度指标水平Ra≤0.03um；钢板不平度偏差指标≤3；延伸率&gt;30%等。</w:t>
      </w:r>
      <w:r>
        <w:rPr>
          <w:rFonts w:hint="eastAsia" w:cs="仿宋_GB2312"/>
          <w:color w:val="000000" w:themeColor="text1"/>
          <w:kern w:val="0"/>
          <w:szCs w:val="32"/>
          <w:shd w:val="clear" w:color="auto" w:fill="FFFFFF"/>
          <w:lang w:bidi="ar"/>
          <w14:textFill>
            <w14:solidFill>
              <w14:schemeClr w14:val="tx1"/>
            </w14:solidFill>
          </w14:textFill>
        </w:rPr>
        <w:t>优化宽幅轧制、光亮退火、精整矫直工艺，调控表面形貌、晶粒组织与内应力分布，揭示表面质量与板形精度调控机理。构建宽幅板材表面精准抛光、全流程应力控制、板形稳定、高光亮一致性核心技术，满足轨道交通、汽车、精密电子、医疗、家电、建筑装饰等领域高品质应用需求。</w:t>
      </w:r>
    </w:p>
    <w:p w14:paraId="16D72D77">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指南7：空天领域发动机用增材制造耐高温合金粉末开发与应用</w:t>
      </w:r>
    </w:p>
    <w:p w14:paraId="7F46BBF6">
      <w:pPr>
        <w:widowControl/>
        <w:ind w:firstLine="640"/>
        <w:rPr>
          <w:rFonts w:cs="仿宋_GB2312"/>
          <w:color w:val="000000" w:themeColor="text1"/>
          <w:kern w:val="0"/>
          <w:szCs w:val="32"/>
          <w:shd w:val="clear" w:color="auto" w:fill="FFFFFF"/>
          <w:lang w:bidi="ar"/>
          <w14:textFill>
            <w14:solidFill>
              <w14:schemeClr w14:val="tx1"/>
            </w14:solidFill>
          </w14:textFill>
        </w:rPr>
      </w:pPr>
      <w:r>
        <w:rPr>
          <w:rFonts w:hint="eastAsia" w:cs="仿宋_GB2312"/>
          <w:color w:val="000000" w:themeColor="text1"/>
          <w:kern w:val="0"/>
          <w:szCs w:val="32"/>
          <w:shd w:val="clear" w:color="auto" w:fill="FFFFFF"/>
          <w:lang w:bidi="ar"/>
          <w14:textFill>
            <w14:solidFill>
              <w14:schemeClr w14:val="tx1"/>
            </w14:solidFill>
          </w14:textFill>
        </w:rPr>
        <w:t>聚焦空天领域发动机小型化、轻量化、整体化、复杂结构化等高性能增材构件关键设计需求，开发适用于激光粉末床熔融工艺1000℃稳定服役高温合金粉末，创新高温合金纳米析出物、纳米氧化物复合增强结构设计，优化高精度成分控制真空熔炼技术、紧耦合双级高压气雾化粉末制备技术、超声共混纳米氧化物均匀化包覆工艺，突破高温合金粉末复合材料成分设计思路，提升成形工艺窗口与高温力学性能，实现粉末材料全流程高稳定性制备，打破国际高端高温合金粉末材料禁运，推动空天领域发动机复杂构件的高质量制造，实现高品质高温合金粉末材料自主可控。</w:t>
      </w:r>
    </w:p>
    <w:p w14:paraId="1F532374">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指南8：半导体溅射靶材用超高纯Ni、Co的制备关键技术及应用</w:t>
      </w:r>
    </w:p>
    <w:p w14:paraId="18EDB1C0">
      <w:pPr>
        <w:widowControl/>
        <w:ind w:firstLine="640"/>
        <w:rPr>
          <w:rFonts w:cs="仿宋_GB2312"/>
          <w:color w:val="000000" w:themeColor="text1"/>
          <w:szCs w:val="32"/>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聚焦半导体芯片溅射靶材核心原料需求，重点攻克超高纯Ni、Co的高纯度精准控制、杂质深度去除、稳定制备等关键技术，破解先进制程芯片对原料纯度的严苛要求，重点实现高纯Ni化学纯度达到5N（99.999%）以上、高纯Co产品纯度达到5N以上，打造适配国际一线芯片用溅射靶材制造厂商的核心原料供给能力，立足芯片产业链最前端，支撑半导体芯片溅射靶材产业高质量发展，推动超高纯Ni、Co在高端芯片制造领域规模化应用。</w:t>
      </w:r>
    </w:p>
    <w:p w14:paraId="54D7884A">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指南9：半导体溅射靶材用超高纯V的制备关键技术及应用</w:t>
      </w:r>
    </w:p>
    <w:p w14:paraId="63269EED">
      <w:pPr>
        <w:widowControl/>
        <w:ind w:firstLine="640"/>
        <w:rPr>
          <w:rFonts w:cs="仿宋_GB2312"/>
          <w:color w:val="000000" w:themeColor="text1"/>
          <w:szCs w:val="32"/>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聚焦半导体掺杂及溅射工艺核心需求，重点攻克超高纯钒的提纯机理、熔盐电解精准控制、熔炼纯度调控等关键技术，破解芯片先进节点演进带来的钒靶材纯度提升难题，实现电解金属钒纯度达到4N（99.995%）以上、熔炼金属钒锭纯度达到4N5（99.995%）以上，开发绿色高效制备工艺，拓展超高纯钒在半导体溅射靶材、平板显示制造、超导材料、磁记录材料等电子信息前沿领域的应用，打造具有核心竞争力的超高纯钒制备技术体系。</w:t>
      </w:r>
    </w:p>
    <w:p w14:paraId="66369887">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指南10：半导体溅射靶材用低铁低锰超高纯Ti的制备关键技术及应用</w:t>
      </w:r>
    </w:p>
    <w:p w14:paraId="3EA3501E">
      <w:pPr>
        <w:widowControl/>
        <w:ind w:firstLine="640"/>
        <w:rPr>
          <w:rFonts w:cs="仿宋_GB2312"/>
          <w:color w:val="000000" w:themeColor="text1"/>
          <w:szCs w:val="32"/>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聚焦半导体溅射靶材用低铁低锰超高纯钛的高品质需求，以低铁低锰超高纯钛产业化关键技术开发为核心，重点突破铁、锰、氧等关键杂质深度去除难题，建立覆盖“原料预处理—电解精炼提纯—电子束熔炼—靶材/合金/粉末等应用产品制备”的全链条超高纯钛制备技术体系，研发具有自主知识产权和核心竞争力的低铁低锰超高纯钛产业化成套工艺，实现5N5级（99.9995%）以上产品的稳定规模化生产，满足半导体溅射靶材领域对超高纯钛的高品质需求，推动其在高端半导体制造领域的广泛应用。</w:t>
      </w:r>
    </w:p>
    <w:p w14:paraId="3F51C04A">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指南11：高洁净度、高均匀性合金的制备关键工艺及技术</w:t>
      </w:r>
    </w:p>
    <w:p w14:paraId="7A8ED7A8">
      <w:pPr>
        <w:widowControl/>
        <w:ind w:firstLine="640"/>
        <w:rPr>
          <w:rFonts w:cs="仿宋_GB2312"/>
          <w:color w:val="000000" w:themeColor="text1"/>
          <w:szCs w:val="32"/>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聚焦半导体、航空航天、可控核聚变等高端应用领域对合金高洁净度、高均匀性的核心品质需求，分领域突破关键技术。针对国内半导体行业发展需求，重点开发因瓦合金、铜锰合金、镍钒合金的制备关键技术，专注解决合金制备过程中单质金属原材料纯度不足、熔炼夹杂物难以去除的核心难点，实现产品稳定规模化生产；针对其他高端应用市场，重点开发铌、钽、钒、钼、钛、铬等合金组成关键单质金属的低成本、高纯净生产工艺，以及钒铝、铌钛、镍钛、铬钼等中间合金制备工艺，构建适配多高端领域的合金制备技术体系。</w:t>
      </w:r>
    </w:p>
    <w:p w14:paraId="759A380A">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指南12：低成本产业化制备5N高纯铜的关键技术开发</w:t>
      </w:r>
    </w:p>
    <w:p w14:paraId="1D462A4C">
      <w:pPr>
        <w:widowControl/>
        <w:ind w:firstLine="640"/>
        <w:rPr>
          <w:rFonts w:cs="仿宋_GB2312"/>
          <w:color w:val="000000" w:themeColor="text1"/>
          <w:szCs w:val="32"/>
          <w14:textFill>
            <w14:solidFill>
              <w14:schemeClr w14:val="tx1"/>
            </w14:solidFill>
          </w14:textFill>
        </w:rPr>
      </w:pPr>
      <w:r>
        <w:rPr>
          <w:rFonts w:hint="eastAsia" w:cs="仿宋_GB2312"/>
          <w:color w:val="000000" w:themeColor="text1"/>
          <w:kern w:val="0"/>
          <w:szCs w:val="32"/>
          <w:lang w:bidi="ar"/>
          <w14:textFill>
            <w14:solidFill>
              <w14:schemeClr w14:val="tx1"/>
            </w14:solidFill>
          </w14:textFill>
        </w:rPr>
        <w:t>聚焦芯片算力、通信速率、能源效率和尖端装备性能提升的核心需求，重点攻克5N高纯铜（纯度≥5N）的低成本产业化制备关键技术，破解其高导电、高散热性能与低成本生产的协同难题，明确其品质性能高于普通无氧铜、市场需求大且价格敏感的核心特点，优化制备流程、降低生产成本，建立完善的市场化验证与推广体系，推动5N高纯铜战略基础材料在半导体、尖端装备等领域的规模化应用，填补低成本5N高纯铜产业化空白。</w:t>
      </w:r>
    </w:p>
    <w:p w14:paraId="23C15B06">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指南13：绿色环保镍金刚石切割材料的规模化应用</w:t>
      </w:r>
    </w:p>
    <w:p w14:paraId="05A027FE">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聚焦光伏金刚线、硬脆材料切割、半导体晶圆切割、消费电子级宝石切割等领域对切割微粉材料高效、绿色制造需求，突破镍包覆金刚石微粉的物理干法包覆工艺及规模化量产技术，实现零污染、高耐温性。重点攻克包覆层均匀性控制、把持力增强、耐磨性提升及批次稳定性等核心技术，围绕绿色环保、高切割效率、长使用寿命等产品属性，实现光伏金刚线切割材料的进口替代与升级，推动其在光伏硅片切割、蓝宝石加工、陶瓷切割等领域的规模化应用，提升切割效率与工具寿命，推动行业向绿色、环保、高效方向转型升级。</w:t>
      </w:r>
    </w:p>
    <w:p w14:paraId="5B6B46B8">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指南14：超细银包铜粉体及其少银化导电浆料的开发与应用</w:t>
      </w:r>
    </w:p>
    <w:p w14:paraId="0236DF4B">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聚焦光伏异质结电池、半导体封装、导电胶等领域降本增效的产业化需求，针对银、铜等原料涨价痛点，研发制备超细银包铜、铜包铝等粉体材料替代高成本原料，兼顾材料性能，赋能制造业原材料环节提质降耗，实现产业降本增效与绿色生产。研发绿色无污染物理干法包覆工艺，重点突破银包铜粉体纳米级均匀包覆及导电浆料配方优化技术，实现银层厚度精准可控、孔隙率低的高品质银包铜粉体量产。重点攻克银层均匀性控制、抗氧化性提升、粉体粒径均一化调控及浆料流变性能优化等关键技术，围绕低电阻率、高抗氧化、少银化等产品属性。通过技术创新与产业链协同，推动其在光伏异质结电池、半导体封装导电胶、电磁屏蔽材料等高端领域的规模化应用，突破国际技术壁垒，降低贵金属耗量，引领电子浆料行业“少银化”革命。</w:t>
      </w:r>
    </w:p>
    <w:p w14:paraId="073492A8">
      <w:pPr>
        <w:pStyle w:val="16"/>
        <w:widowControl/>
        <w:wordWrap w:val="0"/>
        <w:ind w:firstLine="643"/>
        <w:jc w:val="both"/>
        <w:outlineLvl w:val="2"/>
        <w:rPr>
          <w:b/>
          <w:color w:val="000000" w:themeColor="text1"/>
          <w:sz w:val="32"/>
          <w:szCs w:val="32"/>
          <w14:textFill>
            <w14:solidFill>
              <w14:schemeClr w14:val="tx1"/>
            </w14:solidFill>
          </w14:textFill>
        </w:rPr>
      </w:pPr>
      <w:r>
        <w:rPr>
          <w:rFonts w:ascii="仿宋_GB2312" w:cs="仿宋_GB2312"/>
          <w:b/>
          <w:color w:val="000000" w:themeColor="text1"/>
          <w:sz w:val="32"/>
          <w:szCs w:val="32"/>
          <w:lang w:bidi="ar"/>
          <w14:textFill>
            <w14:solidFill>
              <w14:schemeClr w14:val="tx1"/>
            </w14:solidFill>
          </w14:textFill>
        </w:rPr>
        <w:t>指南</w:t>
      </w:r>
      <w:r>
        <w:rPr>
          <w:b/>
          <w:color w:val="000000" w:themeColor="text1"/>
          <w:sz w:val="32"/>
          <w:szCs w:val="32"/>
          <w:lang w:bidi="ar"/>
          <w14:textFill>
            <w14:solidFill>
              <w14:schemeClr w14:val="tx1"/>
            </w14:solidFill>
          </w14:textFill>
        </w:rPr>
        <w:t>15</w:t>
      </w:r>
      <w:r>
        <w:rPr>
          <w:rFonts w:ascii="仿宋_GB2312" w:cs="仿宋_GB2312"/>
          <w:b/>
          <w:color w:val="000000" w:themeColor="text1"/>
          <w:sz w:val="32"/>
          <w:szCs w:val="32"/>
          <w:lang w:bidi="ar"/>
          <w14:textFill>
            <w14:solidFill>
              <w14:schemeClr w14:val="tx1"/>
            </w14:solidFill>
          </w14:textFill>
        </w:rPr>
        <w:t>：高强耐蚀结构钢研发及产业化应用</w:t>
      </w:r>
    </w:p>
    <w:p w14:paraId="29EC4E35">
      <w:pPr>
        <w:ind w:firstLine="640"/>
        <w:rPr>
          <w:color w:val="000000" w:themeColor="text1"/>
          <w14:textFill>
            <w14:solidFill>
              <w14:schemeClr w14:val="tx1"/>
            </w14:solidFill>
          </w14:textFill>
        </w:rPr>
      </w:pPr>
      <w:r>
        <w:rPr>
          <w:rFonts w:ascii="仿宋_GB2312" w:cs="仿宋_GB2312"/>
          <w:color w:val="000000" w:themeColor="text1"/>
          <w:szCs w:val="32"/>
          <w:lang w:bidi="ar"/>
          <w14:textFill>
            <w14:solidFill>
              <w14:schemeClr w14:val="tx1"/>
            </w14:solidFill>
          </w14:textFill>
        </w:rPr>
        <w:t>聚焦海洋光伏、海水养殖等场景对高性能耐蚀结构钢的迫切需求，针对海工钢在复杂海洋环境下腐蚀失效频发、强韧性与耐蚀性难以协同提升、焊接性能不足等关键共性技术难题，着力补齐国内海洋耐蚀钢基础理论与工程应用短板。重点攻克精准合金设计、高纯净冶炼、控轧控冷工艺及配套焊接防护等全链条核心工艺，研发系列化高性能耐蚀结构钢，确保材料强度、低温韧性、耐腐蚀性等核心性能指标达到国际先进水平。打破国外企业对高端海洋耐蚀钢市场的长期垄断，实现关键材料的进口替代与自主可控，为我国海洋资源开发提供有力的保障。</w:t>
      </w:r>
    </w:p>
    <w:p w14:paraId="51AF589A">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1EBA6604">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67" w:name="_Toc475393480"/>
      <w:bookmarkStart w:id="68" w:name="_Toc621375914"/>
      <w:r>
        <w:rPr>
          <w:rFonts w:hint="default" w:ascii="Times New Roman" w:hAnsi="Times New Roman"/>
          <w:color w:val="000000" w:themeColor="text1"/>
          <w14:textFill>
            <w14:solidFill>
              <w14:schemeClr w14:val="tx1"/>
            </w14:solidFill>
          </w14:textFill>
        </w:rPr>
        <w:t>关键基础件</w:t>
      </w:r>
      <w:r>
        <w:rPr>
          <w:rFonts w:ascii="Times New Roman" w:hAnsi="Times New Roman"/>
          <w:color w:val="000000" w:themeColor="text1"/>
          <w14:textFill>
            <w14:solidFill>
              <w14:schemeClr w14:val="tx1"/>
            </w14:solidFill>
          </w14:textFill>
        </w:rPr>
        <w:t>产业链</w:t>
      </w:r>
      <w:bookmarkEnd w:id="67"/>
      <w:bookmarkEnd w:id="68"/>
    </w:p>
    <w:p w14:paraId="071B74F6">
      <w:pPr>
        <w:ind w:firstLine="640"/>
        <w:rPr>
          <w:rFonts w:cs="仿宋"/>
          <w:color w:val="000000" w:themeColor="text1"/>
          <w:szCs w:val="32"/>
          <w14:textFill>
            <w14:solidFill>
              <w14:schemeClr w14:val="tx1"/>
            </w14:solidFill>
          </w14:textFill>
        </w:rPr>
      </w:pPr>
      <w:r>
        <w:rPr>
          <w:rFonts w:hint="eastAsia" w:cs="仿宋"/>
          <w:color w:val="000000" w:themeColor="text1"/>
          <w:szCs w:val="32"/>
          <w14:textFill>
            <w14:solidFill>
              <w14:schemeClr w14:val="tx1"/>
            </w14:solidFill>
          </w14:textFill>
        </w:rPr>
        <w:t>关键基础件是工业基础产业之一，推动关键基础件行业的发展是我国实现产业升级的重要支撑，是新能源汽车与智能网联汽车、智能制造装备、高性能医疗器械、电力装备等产业向高端化、专业化进阶的基础。</w:t>
      </w:r>
    </w:p>
    <w:p w14:paraId="6D819585">
      <w:pPr>
        <w:ind w:firstLine="640"/>
        <w:rPr>
          <w:rFonts w:cs="仿宋"/>
          <w:color w:val="000000" w:themeColor="text1"/>
          <w:szCs w:val="32"/>
          <w14:textFill>
            <w14:solidFill>
              <w14:schemeClr w14:val="tx1"/>
            </w14:solidFill>
          </w14:textFill>
        </w:rPr>
      </w:pPr>
      <w:r>
        <w:rPr>
          <w:rFonts w:hint="eastAsia" w:cs="仿宋"/>
          <w:color w:val="000000" w:themeColor="text1"/>
          <w:szCs w:val="32"/>
          <w14:textFill>
            <w14:solidFill>
              <w14:schemeClr w14:val="tx1"/>
            </w14:solidFill>
          </w14:textFill>
        </w:rPr>
        <w:t>本次“指南”重点聚焦高端电机与驱动、高端轴承、高端模具、精密传动件、精密液气密基础件、高端紧固件、高端铸锻件、粉末冶金件等领域，涵盖零部件设计、制造、测试、驱动控制等环节，具体如下：</w:t>
      </w:r>
    </w:p>
    <w:p w14:paraId="75E79B03">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指南1：高端电机与驱动系统研发以及产业化</w:t>
      </w:r>
    </w:p>
    <w:p w14:paraId="617FD1BA">
      <w:pPr>
        <w:ind w:firstLine="640"/>
        <w:rPr>
          <w:rFonts w:cs="仿宋"/>
          <w:b/>
          <w:bCs/>
          <w:color w:val="000000" w:themeColor="text1"/>
          <w:szCs w:val="32"/>
          <w14:textFill>
            <w14:solidFill>
              <w14:schemeClr w14:val="tx1"/>
            </w14:solidFill>
          </w14:textFill>
        </w:rPr>
      </w:pPr>
      <w:r>
        <w:rPr>
          <w:rFonts w:hint="eastAsia" w:cs="仿宋"/>
          <w:bCs/>
          <w:color w:val="000000" w:themeColor="text1"/>
          <w:szCs w:val="32"/>
          <w14:textFill>
            <w14:solidFill>
              <w14:schemeClr w14:val="tx1"/>
            </w14:solidFill>
          </w14:textFill>
        </w:rPr>
        <w:t>聚焦伺服电机、永磁电机、磁悬浮电机、电机驱动控制器、电机关键结构件等重点领域，实施模块化永磁电机及其驱动控制、高稳定性高空无人机电机、超高速磁悬浮电机制备、超高速电机控制器产业化、智能直线驱动关键技术研究及产业化、高性能马达关键技术研发、纳米级定位的大推力音圈电机及其驱动器等一批关键共性技术攻关，提升电机全产业链技术创新能力。</w:t>
      </w:r>
      <w:r>
        <w:rPr>
          <w:rFonts w:hint="eastAsia" w:cs="仿宋"/>
          <w:color w:val="000000" w:themeColor="text1"/>
          <w:szCs w:val="32"/>
          <w14:textFill>
            <w14:solidFill>
              <w14:schemeClr w14:val="tx1"/>
            </w14:solidFill>
          </w14:textFill>
        </w:rPr>
        <w:t>重点发展新能源汽车用高功率密度高效电机、机器人用集成永磁力矩电机、多自由度电机及其驱动控制、高稳定性高空无人机电机、纳米级定位的大推力音圈电机、模块化永磁电机及3D打印大尺寸磁性电机等特种专用电机、大功率交流伺服电机及控制系统</w:t>
      </w:r>
      <w:r>
        <w:rPr>
          <w:rFonts w:ascii="仿宋_GB2312" w:cs="仿宋_GB2312"/>
          <w:color w:val="000000" w:themeColor="text1"/>
          <w:szCs w:val="32"/>
          <w14:textFill>
            <w14:solidFill>
              <w14:schemeClr w14:val="tx1"/>
            </w14:solidFill>
          </w14:textFill>
        </w:rPr>
        <w:t>、车载高可靠性轻量化精密传动驱动系统开发及产业化</w:t>
      </w:r>
      <w:r>
        <w:rPr>
          <w:rFonts w:hint="eastAsia" w:cs="仿宋"/>
          <w:color w:val="000000" w:themeColor="text1"/>
          <w:szCs w:val="32"/>
          <w14:textFill>
            <w14:solidFill>
              <w14:schemeClr w14:val="tx1"/>
            </w14:solidFill>
          </w14:textFill>
        </w:rPr>
        <w:t>等。</w:t>
      </w:r>
    </w:p>
    <w:p w14:paraId="1E6B4173">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指南2：高端轴承制造技术研发与应用</w:t>
      </w:r>
    </w:p>
    <w:p w14:paraId="6A9463E2">
      <w:pPr>
        <w:ind w:firstLine="640"/>
        <w:rPr>
          <w:rFonts w:cs="仿宋"/>
          <w:color w:val="000000" w:themeColor="text1"/>
          <w:szCs w:val="32"/>
          <w14:textFill>
            <w14:solidFill>
              <w14:schemeClr w14:val="tx1"/>
            </w14:solidFill>
          </w14:textFill>
        </w:rPr>
      </w:pPr>
      <w:r>
        <w:rPr>
          <w:rFonts w:hint="eastAsia" w:cs="仿宋"/>
          <w:color w:val="000000" w:themeColor="text1"/>
          <w:szCs w:val="32"/>
          <w14:textFill>
            <w14:solidFill>
              <w14:schemeClr w14:val="tx1"/>
            </w14:solidFill>
          </w14:textFill>
        </w:rPr>
        <w:t>围绕重型机械装备、医疗器械、纺织设备、飞机、高铁、工业机器人、新能源汽车、工业母机装备等重点产业领域，突破超高速微型球轴承研发及产业化、微小型高温球轴承研发及产业化、超精密轴承研发、高精度调心滚子轴承生产工艺及产业化、工业机器人减速器轴承研发、长寿命高精度低噪音深沟球轴承垂直化生产工艺及优化、乘用车高密封性球轴承设计制造与测试、汽车电动助力转向系统用轴承设计与测试等一批关键核心技术。</w:t>
      </w:r>
    </w:p>
    <w:p w14:paraId="0E073E7D">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指南3：高端模具制造技术研发与应用</w:t>
      </w:r>
    </w:p>
    <w:p w14:paraId="3B6A517F">
      <w:pPr>
        <w:ind w:firstLine="640"/>
        <w:rPr>
          <w:rFonts w:cs="仿宋"/>
          <w:color w:val="000000" w:themeColor="text1"/>
          <w:szCs w:val="32"/>
          <w14:textFill>
            <w14:solidFill>
              <w14:schemeClr w14:val="tx1"/>
            </w14:solidFill>
          </w14:textFill>
        </w:rPr>
      </w:pPr>
      <w:r>
        <w:rPr>
          <w:rFonts w:hint="eastAsia" w:cs="仿宋"/>
          <w:color w:val="000000" w:themeColor="text1"/>
          <w:szCs w:val="32"/>
          <w14:textFill>
            <w14:solidFill>
              <w14:schemeClr w14:val="tx1"/>
            </w14:solidFill>
          </w14:textFill>
        </w:rPr>
        <w:t>围绕高端模具材料制备、模具成型加工和大型复杂模具设计等重点领域，聚焦模具钢改性、模具热处理工艺及精加工、大型高精度复杂模具设计及制备、微米级多穴精密注塑模具研发设计、模具非球面型腔超精密加工、智能化压铸模具控制关键技术、巨型一体成型精密压铸模具模架高品质高效率工艺研发等新技术新工艺，推进模具制造智能化。重点发展金属模、冲压模、铸造模、塑料模等长寿命、高可靠性精密模具产品和高效精密智能模具。</w:t>
      </w:r>
    </w:p>
    <w:p w14:paraId="5327AAA4">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指南4：精密传动件技术研发与应用</w:t>
      </w:r>
    </w:p>
    <w:p w14:paraId="3698780F">
      <w:pPr>
        <w:ind w:firstLine="640"/>
        <w:rPr>
          <w:rFonts w:cs="仿宋"/>
          <w:bCs/>
          <w:color w:val="000000" w:themeColor="text1"/>
          <w:szCs w:val="32"/>
          <w14:textFill>
            <w14:solidFill>
              <w14:schemeClr w14:val="tx1"/>
            </w14:solidFill>
          </w14:textFill>
        </w:rPr>
      </w:pPr>
      <w:r>
        <w:rPr>
          <w:rFonts w:hint="eastAsia" w:cs="仿宋"/>
          <w:bCs/>
          <w:color w:val="000000" w:themeColor="text1"/>
          <w:szCs w:val="32"/>
          <w14:textFill>
            <w14:solidFill>
              <w14:schemeClr w14:val="tx1"/>
            </w14:solidFill>
          </w14:textFill>
        </w:rPr>
        <w:t>重点突破齿轮精密加工、谐波新齿形加工、旋转分度加工、连续分度加工、剐齿加工、硬齿面强制珩磨等关键共性技术，攻克机器人变形余弦齿轮关节减速器设计制造技术等前沿技术，推动高速精密重载人字齿行星制造技术等关键技术产业化应用。重点发展机器人及智能装备用高速精密减速器、大型矿山和冶金装备用高性能行星齿轮传动系统、大兆瓦级半直驱海上风电齿轮箱、高速列车用高性能合金钢制动盘、核电循环水泵齿轮箱、舰船用大型齿轮传动装置等专用精密传动部件与装置等。</w:t>
      </w:r>
    </w:p>
    <w:p w14:paraId="364C6DEB">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指南5：精密液气密基础件制造技术研发与应用</w:t>
      </w:r>
    </w:p>
    <w:p w14:paraId="418335EE">
      <w:pPr>
        <w:ind w:firstLine="640"/>
        <w:rPr>
          <w:rFonts w:cs="仿宋"/>
          <w:color w:val="000000" w:themeColor="text1"/>
          <w:szCs w:val="32"/>
          <w14:textFill>
            <w14:solidFill>
              <w14:schemeClr w14:val="tx1"/>
            </w14:solidFill>
          </w14:textFill>
        </w:rPr>
      </w:pPr>
      <w:r>
        <w:rPr>
          <w:rFonts w:hint="eastAsia" w:cs="仿宋"/>
          <w:color w:val="000000" w:themeColor="text1"/>
          <w:szCs w:val="32"/>
          <w14:textFill>
            <w14:solidFill>
              <w14:schemeClr w14:val="tx1"/>
            </w14:solidFill>
          </w14:textFill>
        </w:rPr>
        <w:t>聚焦关键液压动力元件、执行元件、液压阀、数字液压控制等重点发展领域，开展无油螺杆压缩机主机与真空泵关键技术及产业化、适用于气液或混合多项介质压缩泵用多流道进口单向阀制备技术、高性能柱塞泵关键技术、气液两相增压输送装置与长行程油缸关键技术、往复泵卧式阀组的双作用液力端可同步输送气液的过滤器制备技术、带位置闭环的双减压阀驱动比例多路阀关键技术、数字液压阀制备技术、数字液压马达制备技术等技术研发，抢占产业发展制高点。瞄准气动件小型化、智能化、安全化、高精度、高可靠性的发展趋势，重点推进电-气压力/流量比例阀、阀岛、精密压缩空气过滤装置、真空发生器集成单元关键技术及产业化，压电比例、电气比例/伺服控制技术研究等方向的技术攻关。聚焦高分子密封件、陶瓷密封件、极端环境密封件等领域发展需求，重点推进高端车用密封条自动化智能化制造技术、环氧树脂封装材料制备技术、硅胶封装材料制备技术、动密封陶瓷材料与构件关键技术及产业化、耐干摩水封技术、特高压陶瓷阀芯制备技术等关键核心技术攻关。重点发展智能高压大流量液压元件、</w:t>
      </w:r>
      <w:r>
        <w:rPr>
          <w:rFonts w:cs="Times New Roman"/>
          <w:color w:val="000000" w:themeColor="text1"/>
          <w:szCs w:val="32"/>
          <w14:textFill>
            <w14:solidFill>
              <w14:schemeClr w14:val="tx1"/>
            </w14:solidFill>
          </w14:textFill>
        </w:rPr>
        <w:t>AI</w:t>
      </w:r>
      <w:r>
        <w:rPr>
          <w:rFonts w:ascii="仿宋_GB2312" w:cs="仿宋_GB2312"/>
          <w:color w:val="000000" w:themeColor="text1"/>
          <w:szCs w:val="32"/>
          <w14:textFill>
            <w14:solidFill>
              <w14:schemeClr w14:val="tx1"/>
            </w14:solidFill>
          </w14:textFill>
        </w:rPr>
        <w:t>服务器液冷快速接头、</w:t>
      </w:r>
      <w:r>
        <w:rPr>
          <w:rFonts w:hint="eastAsia" w:cs="仿宋"/>
          <w:color w:val="000000" w:themeColor="text1"/>
          <w:szCs w:val="32"/>
          <w14:textFill>
            <w14:solidFill>
              <w14:schemeClr w14:val="tx1"/>
            </w14:solidFill>
          </w14:textFill>
        </w:rPr>
        <w:t>液压系统和高性能泵阀，系列化的气动阀、真空发生器集成单元和智能气动元件系统，高耐候、无摩擦、真空高导热密封件等产品。</w:t>
      </w:r>
    </w:p>
    <w:p w14:paraId="663B299F">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指南6：精密紧固件制造技术研发与应用</w:t>
      </w:r>
    </w:p>
    <w:p w14:paraId="368954E9">
      <w:pPr>
        <w:ind w:firstLine="640"/>
        <w:rPr>
          <w:rFonts w:cs="仿宋"/>
          <w:color w:val="000000" w:themeColor="text1"/>
          <w:szCs w:val="32"/>
          <w14:textFill>
            <w14:solidFill>
              <w14:schemeClr w14:val="tx1"/>
            </w14:solidFill>
          </w14:textFill>
        </w:rPr>
      </w:pPr>
      <w:r>
        <w:rPr>
          <w:rFonts w:hint="eastAsia" w:cs="仿宋"/>
          <w:color w:val="000000" w:themeColor="text1"/>
          <w:szCs w:val="32"/>
          <w14:textFill>
            <w14:solidFill>
              <w14:schemeClr w14:val="tx1"/>
            </w14:solidFill>
          </w14:textFill>
        </w:rPr>
        <w:t>围绕高强度紧固件材料成型与加工、高性能紧固件结构设计与优化等产业发展方向，推进高强度/智能紧固件制备技术、超大规格耐蚀紧固件的精密加工与环保防腐关键技术、六角螺栓自动热锻技术、14.9级高强度螺栓制备技术、金属塑性成型技术、卧式翻板貌技术、耐高温防松动紧固件设计与制造技术、紧固系统结构及工艺设计软件技术、紧固性能检测及智能工艺装备技术等关键技术突破。重点发展汽车发动机紧固件、风力发电配套大规格高强度紧固件、核电专用紧固件、飞机专用紧固件和轨道交通扣件等高强度紧固件。</w:t>
      </w:r>
    </w:p>
    <w:p w14:paraId="694A2CF7">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指南7：高端铸锻件制造技术研发与应用</w:t>
      </w:r>
    </w:p>
    <w:p w14:paraId="07E736A0">
      <w:pPr>
        <w:ind w:firstLine="640"/>
        <w:rPr>
          <w:rFonts w:cs="仿宋"/>
          <w:color w:val="000000" w:themeColor="text1"/>
          <w:szCs w:val="32"/>
          <w14:textFill>
            <w14:solidFill>
              <w14:schemeClr w14:val="tx1"/>
            </w14:solidFill>
          </w14:textFill>
        </w:rPr>
      </w:pPr>
      <w:r>
        <w:rPr>
          <w:rFonts w:hint="eastAsia" w:cs="仿宋"/>
          <w:color w:val="000000" w:themeColor="text1"/>
          <w:szCs w:val="32"/>
          <w14:textFill>
            <w14:solidFill>
              <w14:schemeClr w14:val="tx1"/>
            </w14:solidFill>
          </w14:textFill>
        </w:rPr>
        <w:t>围绕铸锻件大尺寸、高精度、成分均匀、结构复杂的产业发展需求，突破免热处理一体压铸超大车身结构件关键技术研究及产业化、高速精密温/热傲锻成形技术、冷傲机闭环数字控制技术，提高铸件疲劳强度技术、铝合金电磁铸造技术、热变形过程中组织与加工性能调控技术、合金带材连续高温固溶处理及成套时效热处理技术、大型高韧性低温球墨铸铁件关键技术，</w:t>
      </w:r>
      <w:r>
        <w:rPr>
          <w:rFonts w:ascii="仿宋_GB2312" w:cs="仿宋_GB2312"/>
          <w:color w:val="000000" w:themeColor="text1"/>
          <w:szCs w:val="32"/>
          <w14:textFill>
            <w14:solidFill>
              <w14:schemeClr w14:val="tx1"/>
            </w14:solidFill>
          </w14:textFill>
        </w:rPr>
        <w:t>厚大断面球墨铸铁件高稳定性制备技术，</w:t>
      </w:r>
      <w:r>
        <w:rPr>
          <w:rFonts w:hint="eastAsia" w:cs="仿宋"/>
          <w:color w:val="000000" w:themeColor="text1"/>
          <w:szCs w:val="32"/>
          <w14:textFill>
            <w14:solidFill>
              <w14:schemeClr w14:val="tx1"/>
            </w14:solidFill>
          </w14:textFill>
        </w:rPr>
        <w:t>保障精密铸锻件上下游全链条安全可控。</w:t>
      </w:r>
      <w:r>
        <w:rPr>
          <w:rFonts w:ascii="仿宋_GB2312" w:cs="仿宋_GB2312"/>
          <w:color w:val="000000" w:themeColor="text1"/>
          <w:szCs w:val="32"/>
          <w14:textFill>
            <w14:solidFill>
              <w14:schemeClr w14:val="tx1"/>
            </w14:solidFill>
          </w14:textFill>
        </w:rPr>
        <w:t>重点发展核电压力容器（蒸汽发生器）锻件、核级泵（阀）锻件、船用大型铸锻件、大型风电装备叶片铸锻件、高精度机床类底座高稳定性球墨铸铁件等大型机床铸件、燃气轮机叶片铸锻件、轨道交通专用超低温高韧性球墨铸铁件等特种专用铸锻件以及精密液压铸锻件、通用低温球墨铸铁件、高强韧铝合金新型压铸锻件等其它特种铸锻件</w:t>
      </w:r>
      <w:r>
        <w:rPr>
          <w:rFonts w:hint="eastAsia" w:cs="仿宋"/>
          <w:color w:val="000000" w:themeColor="text1"/>
          <w:szCs w:val="32"/>
          <w14:textFill>
            <w14:solidFill>
              <w14:schemeClr w14:val="tx1"/>
            </w14:solidFill>
          </w14:textFill>
        </w:rPr>
        <w:t>。</w:t>
      </w:r>
    </w:p>
    <w:p w14:paraId="725BCE25">
      <w:pPr>
        <w:pStyle w:val="23"/>
        <w:numPr>
          <w:ilvl w:val="0"/>
          <w:numId w:val="0"/>
        </w:numPr>
        <w:ind w:firstLine="643"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指南8：高端粉末冶金件制造技术研发与应用</w:t>
      </w:r>
    </w:p>
    <w:p w14:paraId="5C73862F">
      <w:pPr>
        <w:ind w:firstLine="640"/>
        <w:rPr>
          <w:rFonts w:cs="仿宋"/>
          <w:bCs/>
          <w:color w:val="000000" w:themeColor="text1"/>
          <w:szCs w:val="32"/>
          <w14:textFill>
            <w14:solidFill>
              <w14:schemeClr w14:val="tx1"/>
            </w14:solidFill>
          </w14:textFill>
        </w:rPr>
      </w:pPr>
      <w:r>
        <w:rPr>
          <w:rFonts w:hint="eastAsia" w:cs="仿宋"/>
          <w:bCs/>
          <w:color w:val="000000" w:themeColor="text1"/>
          <w:szCs w:val="32"/>
          <w14:textFill>
            <w14:solidFill>
              <w14:schemeClr w14:val="tx1"/>
            </w14:solidFill>
          </w14:textFill>
        </w:rPr>
        <w:t>聚焦高精度汽车粉末冶金零件、大型客机（高速列车、船舶）制动用高性能粉末冶金刹车片、铝合金粉末冶金凸轮轴承盖等重点领域发展需求，突破熔体雾化分散控制技术、感应等离子球化粉体制备的能量耦合控制技术、特种粉体输送速率精度和输送均匀性控制技术等关键技术及产业化应用。重点发展高精度汽车粉末冶金零件、大型客机（高速列车、船舶）制动用高性能粉末冶金摩擦材料及刹车片、高强度自润滑粉末冶金摩擦副、粉末注射成型件等。</w:t>
      </w:r>
    </w:p>
    <w:p w14:paraId="20636399">
      <w:pPr>
        <w:pStyle w:val="23"/>
        <w:numPr>
          <w:ilvl w:val="0"/>
          <w:numId w:val="0"/>
        </w:numPr>
        <w:ind w:firstLine="643" w:firstLineChars="200"/>
        <w:rPr>
          <w:b/>
          <w:bCs w:val="0"/>
          <w:color w:val="000000" w:themeColor="text1"/>
          <w14:textFill>
            <w14:solidFill>
              <w14:schemeClr w14:val="tx1"/>
            </w14:solidFill>
          </w14:textFill>
        </w:rPr>
      </w:pPr>
      <w:r>
        <w:rPr>
          <w:b/>
          <w:bCs w:val="0"/>
          <w:color w:val="000000" w:themeColor="text1"/>
          <w14:textFill>
            <w14:solidFill>
              <w14:schemeClr w14:val="tx1"/>
            </w14:solidFill>
          </w14:textFill>
        </w:rPr>
        <w:t>指南9：高端线缆连接类关键基础件技术研发与应用</w:t>
      </w:r>
    </w:p>
    <w:p w14:paraId="045DB49B">
      <w:pPr>
        <w:widowControl/>
        <w:ind w:firstLine="640"/>
        <w:jc w:val="left"/>
        <w:rPr>
          <w:rFonts w:cs="Times New Roman"/>
          <w:color w:val="000000" w:themeColor="text1"/>
          <w:szCs w:val="32"/>
          <w14:textFill>
            <w14:solidFill>
              <w14:schemeClr w14:val="tx1"/>
            </w14:solidFill>
          </w14:textFill>
        </w:rPr>
      </w:pPr>
      <w:r>
        <w:rPr>
          <w:rFonts w:ascii="仿宋_GB2312" w:cs="仿宋_GB2312"/>
          <w:color w:val="000000" w:themeColor="text1"/>
          <w:szCs w:val="32"/>
          <w:lang w:bidi="ar"/>
          <w14:textFill>
            <w14:solidFill>
              <w14:schemeClr w14:val="tx1"/>
            </w14:solidFill>
          </w14:textFill>
        </w:rPr>
        <w:t>聚焦高端电子信息装备互连领域关键基础件，围绕精密电子线缆、电子线束自动化加工装备及配套互联基础组件开展技术协同攻关。重点突破护套剥离、内线定长、摆线搓线、整线接合等一体化自研装备集成技术，配套研发适配电子信息系统的电缆故障自动检测装置、线缆接头物联网采集终端，实现互连状态数字化监测溯源；攻克热塑性弹性体接头精密注塑、低烟无卤耐候电子线缆挤塑、卡扣防松对接插头成型等核心工艺。攻关线芯伞状交叉锁紧、视觉角度校正、线缆自适应收放、</w:t>
      </w:r>
      <w:r>
        <w:rPr>
          <w:rFonts w:cs="Times New Roman"/>
          <w:color w:val="000000" w:themeColor="text1"/>
          <w:szCs w:val="32"/>
          <w:lang w:bidi="ar"/>
          <w14:textFill>
            <w14:solidFill>
              <w14:schemeClr w14:val="tx1"/>
            </w14:solidFill>
          </w14:textFill>
        </w:rPr>
        <w:t>BP</w:t>
      </w:r>
      <w:r>
        <w:rPr>
          <w:rFonts w:ascii="仿宋_GB2312" w:cs="仿宋_GB2312"/>
          <w:color w:val="000000" w:themeColor="text1"/>
          <w:szCs w:val="32"/>
          <w:lang w:bidi="ar"/>
          <w14:textFill>
            <w14:solidFill>
              <w14:schemeClr w14:val="tx1"/>
            </w14:solidFill>
          </w14:textFill>
        </w:rPr>
        <w:t>神经网络测温补偿、聚类智能故障识别等数字化技术，搭建线束一体化试制与在线智能检测产线，完成机械强度、温升、绝缘防潮、信号传输稳定性全性能验证，解决电子线束加工精度不足、接头易脱落、信号连接不稳、人工故障判别低效等行业痛点，有效提升加工效率、互连可靠性与环境防护能力。重点发展电子信息专用精密线缆自动化成套装备、密封防松互联接头、智能检测终端及高频信号线束集成组件，完善高端电子线缆连接基础件配套体系，推动电子互连加工装备与核心组件国产化替代，补齐高端电子信息互连基础件制造短板，赋能工控电子、智能终端、新能源电子设备配套应用。</w:t>
      </w:r>
    </w:p>
    <w:p w14:paraId="65821998">
      <w:pPr>
        <w:ind w:firstLine="0" w:firstLineChars="0"/>
        <w:rPr>
          <w:rFonts w:cs="仿宋"/>
          <w:bCs/>
          <w:color w:val="000000" w:themeColor="text1"/>
          <w:szCs w:val="32"/>
          <w14:textFill>
            <w14:solidFill>
              <w14:schemeClr w14:val="tx1"/>
            </w14:solidFill>
          </w14:textFill>
        </w:rPr>
      </w:pPr>
      <w:r>
        <w:rPr>
          <w:rFonts w:hint="eastAsia" w:cs="仿宋"/>
          <w:bCs/>
          <w:color w:val="000000" w:themeColor="text1"/>
          <w:szCs w:val="32"/>
          <w14:textFill>
            <w14:solidFill>
              <w14:schemeClr w14:val="tx1"/>
            </w14:solidFill>
          </w14:textFill>
        </w:rPr>
        <w:br w:type="page"/>
      </w:r>
    </w:p>
    <w:p w14:paraId="5210C98D">
      <w:pPr>
        <w:ind w:firstLine="640"/>
        <w:rPr>
          <w:rFonts w:cs="仿宋"/>
          <w:bCs/>
          <w:color w:val="000000" w:themeColor="text1"/>
          <w:szCs w:val="32"/>
          <w14:textFill>
            <w14:solidFill>
              <w14:schemeClr w14:val="tx1"/>
            </w14:solidFill>
          </w14:textFill>
        </w:rPr>
      </w:pPr>
    </w:p>
    <w:p w14:paraId="297F6081">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69" w:name="_Toc293447772"/>
      <w:bookmarkStart w:id="70" w:name="_Toc1164907645"/>
      <w:r>
        <w:rPr>
          <w:rFonts w:hint="default" w:ascii="Times New Roman" w:hAnsi="Times New Roman"/>
          <w:color w:val="000000" w:themeColor="text1"/>
          <w14:textFill>
            <w14:solidFill>
              <w14:schemeClr w14:val="tx1"/>
            </w14:solidFill>
          </w14:textFill>
        </w:rPr>
        <w:t>智能传感与仪器仪表</w:t>
      </w:r>
      <w:r>
        <w:rPr>
          <w:rFonts w:ascii="Times New Roman" w:hAnsi="Times New Roman"/>
          <w:color w:val="000000" w:themeColor="text1"/>
          <w14:textFill>
            <w14:solidFill>
              <w14:schemeClr w14:val="tx1"/>
            </w14:solidFill>
          </w14:textFill>
        </w:rPr>
        <w:t>产业链</w:t>
      </w:r>
      <w:bookmarkEnd w:id="69"/>
      <w:bookmarkEnd w:id="70"/>
    </w:p>
    <w:p w14:paraId="29637508">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智能传感器作为集数据采集、交互与决策于一体的底层支撑技术，是驱动智能制造、工业互联网及自动驾驶等产业升级的核心引擎。智能传感器产业链可分为多个环节，上游涵盖材料供应和生产设备制造；中游凭借先进的制造工艺和完善的服务平台，完成设计、制造到封测等一系列环节，实现各类智能传感器的生产；下游则在消费电子、工业控制、医疗电子等领域应用广泛。</w:t>
      </w:r>
    </w:p>
    <w:p w14:paraId="4038DB6C">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本次“指南”重点布局智能传感</w:t>
      </w:r>
      <w:r>
        <w:rPr>
          <w:rFonts w:hint="eastAsia" w:cs="Times New Roman"/>
          <w:color w:val="000000" w:themeColor="text1"/>
          <w14:textFill>
            <w14:solidFill>
              <w14:schemeClr w14:val="tx1"/>
            </w14:solidFill>
          </w14:textFill>
        </w:rPr>
        <w:t>与仪器仪表</w:t>
      </w:r>
      <w:r>
        <w:rPr>
          <w:rFonts w:cs="Times New Roman"/>
          <w:color w:val="000000" w:themeColor="text1"/>
          <w14:textFill>
            <w14:solidFill>
              <w14:schemeClr w14:val="tx1"/>
            </w14:solidFill>
          </w14:textFill>
        </w:rPr>
        <w:t>产业链中游的核心传感器和光电功能基材，主要涵盖力学/触觉传感器、光学组件及传感器、环境感知类传感器、其他传感器和光电专用材料，具体如下：</w:t>
      </w:r>
    </w:p>
    <w:p w14:paraId="1CF4648B">
      <w:pPr>
        <w:ind w:firstLine="643"/>
        <w:outlineLvl w:val="2"/>
        <w:rPr>
          <w:rFonts w:cs="Times New Roman"/>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指南1：高精度力学/触觉等模态传感器研究与应用</w:t>
      </w:r>
    </w:p>
    <w:p w14:paraId="796D47A6">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力学与触觉感知的高灵敏度、宽动态范围与强环境适应性性能特点，重点突破高精度硅基敏感单元设计与微伏级低噪声信号采集技术，结合高刚性低回滞弹性体结构创新，攻克灵敏度与结构刚性协同优化难题，实现多维力/力矩传感器（覆盖一维至六维）在仿生机器人关节的精准力觉反馈；基于电阻应变式原理与高速数字信号处理架构，集成抗过载防护、法兰式模块化适配及边缘计算能力，显著提升动态响应速度与抗干扰性能，满足工业机械臂高精度力控、协作机器人柔性交互及人形机器人复杂动作规划等场景需求；通过多物理场耦合建模与自适应滤波算法，支持线性/旋转关节的力-力矩测量信号定制化解析，赋能智能制造、医疗康复、特种装备等领域的自主化传感升级，为机器人灵巧操作与智能决策提供可靠感知底座。</w:t>
      </w:r>
    </w:p>
    <w:p w14:paraId="02777A60">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指南2：高稳定性光学组件及传感器制造与应用</w:t>
      </w:r>
    </w:p>
    <w:p w14:paraId="1042294F">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聚焦光学元件微型化、高保真信号传输及多场景感知精度等核心性能，重点</w:t>
      </w:r>
      <w:r>
        <w:rPr>
          <w:rFonts w:hint="eastAsia" w:cs="Times New Roman"/>
          <w:color w:val="000000" w:themeColor="text1"/>
          <w14:textFill>
            <w14:solidFill>
              <w14:schemeClr w14:val="tx1"/>
            </w14:solidFill>
          </w14:textFill>
        </w:rPr>
        <w:t>突破高精度微阵列模具加工技术、自研高精度成型设备和成型工艺技术开发</w:t>
      </w:r>
      <w:r>
        <w:rPr>
          <w:rFonts w:cs="Times New Roman"/>
          <w:color w:val="000000" w:themeColor="text1"/>
          <w14:textFill>
            <w14:solidFill>
              <w14:schemeClr w14:val="tx1"/>
            </w14:solidFill>
          </w14:textFill>
        </w:rPr>
        <w:t>，突破多群组光学结构设计、微镜动态响应控制、HUD自由曲面光学设计及车规级耐候镜头热补偿工艺，结合CMOS-MEMS单片集成工艺与抗干扰光路拓扑优化，实现智能设备等效焦距压缩可靠性适配</w:t>
      </w:r>
      <w:r>
        <w:rPr>
          <w:rFonts w:hint="eastAsia" w:cs="Times New Roman"/>
          <w:color w:val="000000" w:themeColor="text1"/>
          <w14:textFill>
            <w14:solidFill>
              <w14:schemeClr w14:val="tx1"/>
            </w14:solidFill>
          </w14:textFill>
        </w:rPr>
        <w:t>的镜头或模组</w:t>
      </w:r>
      <w:r>
        <w:rPr>
          <w:rFonts w:cs="Times New Roman"/>
          <w:color w:val="000000" w:themeColor="text1"/>
          <w14:textFill>
            <w14:solidFill>
              <w14:schemeClr w14:val="tx1"/>
            </w14:solidFill>
          </w14:textFill>
        </w:rPr>
        <w:t>；同步在光学传感器领域攻克高变焦影像模组亚微米级像差校正、多模态成像算法融合及超分辨显微三维重构技术，围绕环境自适应、实时解析等特性，集成激光深度学习缺陷检测与AI动态补偿能力，推动其在消费电子微型成像、智能驾驶实时感知及生物医学显微解析等场景的规模化应用，加速高精度光学组件与智能传感系统的自主化技术迭代。</w:t>
      </w:r>
    </w:p>
    <w:p w14:paraId="2523EC96">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指南3：多场景自适应环境感知传感器的研发与应用</w:t>
      </w:r>
    </w:p>
    <w:p w14:paraId="40435A94">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环境感知传感器多模态融合、痕量物质高灵敏度检测及复杂工况动态感知等核心性能，复合传感架构设计、柔性基底异质封装工艺、自适应信号解耦算法及多物理场耦合建模技术，围绕微型化、抗干扰、自校准等产品特性，实现集成式环境感知模组、工业级高精度监测系统等国产化，并提升动态行为识别与交互意图解析能力；通过构建域控制器的全栈式产品矩阵，结合边缘计算架构与分布式网络技术创新，推动其在多域协同感知、工业危化品溯源监测、服务机器人多场景交互等高端领域规模化应用，打破复杂环境感知技术壁垒，加速智慧城市与智能工厂核心系统的自主化进程。</w:t>
      </w:r>
    </w:p>
    <w:p w14:paraId="0D6DD3EA">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指南4：高精度多维集成3D视觉传感器研发与应用</w:t>
      </w:r>
    </w:p>
    <w:p w14:paraId="5500D989">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三维感知的高精度成像、实时动态重构与多模态融合性能特点，重点突破双模式（结构光+双目立体视觉）3D传感器，融合VCSEL阵列与SPAD探测器协同架构，攻克多径干扰抑制与点云密度均衡难题；集成事件驱动型图像传感器与神经网络加速器，嵌入动态曝光补偿、多目标语义分割及SLAM边缘计算模块，并通过多光谱融合成像与跨模态标定技术，支持RGB-D/ToF/热成像多源数据时空对齐，实现宽泛探测范围高精度实时三维建模与复杂动态环境运动物体捕捉及建立三维数字孪生基座量产标准，提升多模态传感器一致性，实现智能机器人人机协作、导航与避障、机械手控制与装配及自主编程功能，在工业机械臂无序分拣、AGV高速避障、医疗手术导航、家庭服务机器人场景构建等应用中，为机器人环境认知与自主决策提供高集成度三维感知基座。</w:t>
      </w:r>
    </w:p>
    <w:p w14:paraId="2C7296A0">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指南5：其他高端智能传感器多领域应用研究</w:t>
      </w:r>
    </w:p>
    <w:p w14:paraId="3E95C69B">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聚焦位置/速度、流量/温湿度、磁学/电流场域感知及声学/生化参数解析等多元化核心性能，重点突破高精度位置传感算法、微型流量微流道设计、抗干扰磁电耦合建模、多生理信号并行处理</w:t>
      </w:r>
      <w:r>
        <w:rPr>
          <w:rFonts w:hint="eastAsia" w:cs="Times New Roman"/>
          <w:color w:val="000000" w:themeColor="text1"/>
          <w14:textFill>
            <w14:solidFill>
              <w14:schemeClr w14:val="tx1"/>
            </w14:solidFill>
          </w14:textFill>
        </w:rPr>
        <w:t>、CCF柔性集成传感互联架构</w:t>
      </w:r>
      <w:r>
        <w:rPr>
          <w:rFonts w:cs="Times New Roman"/>
          <w:color w:val="000000" w:themeColor="text1"/>
          <w14:textFill>
            <w14:solidFill>
              <w14:schemeClr w14:val="tx1"/>
            </w14:solidFill>
          </w14:textFill>
        </w:rPr>
        <w:t>等关键技术，围绕复杂工况适应性、多参数同步采集、智能自校准等产品特性，实现工业级位置/速度传感器精度跃升、医疗级生化检测效率突破及微型热流/声学传感器本土化技术突破；同步推进高端PCB线路板与FPC线路板的定制化设计及高可靠性制造工艺。通过MEMS工艺与柔性电子技术融合创新，推动其在高端装备精密定位、智能电网动态负荷监测、化工流程安全预警、医疗多体征实时分析等高端领域规模化应用，覆盖工业自动化高精度控制、新能源</w:t>
      </w:r>
      <w:r>
        <w:rPr>
          <w:rFonts w:hint="eastAsia" w:cs="Times New Roman"/>
          <w:color w:val="000000" w:themeColor="text1"/>
          <w14:textFill>
            <w14:solidFill>
              <w14:schemeClr w14:val="tx1"/>
            </w14:solidFill>
          </w14:textFill>
        </w:rPr>
        <w:t>动力电池、</w:t>
      </w:r>
      <w:r>
        <w:rPr>
          <w:rFonts w:cs="Times New Roman"/>
          <w:color w:val="000000" w:themeColor="text1"/>
          <w14:textFill>
            <w14:solidFill>
              <w14:schemeClr w14:val="tx1"/>
            </w14:solidFill>
          </w14:textFill>
        </w:rPr>
        <w:t>储能系统优化、建筑管道健康诊断、可穿戴设备生理监测等全场景需求。</w:t>
      </w:r>
    </w:p>
    <w:p w14:paraId="5A62108E">
      <w:pPr>
        <w:ind w:firstLine="643"/>
        <w:rPr>
          <w:rFonts w:cs="Times New Roman"/>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指南6：高精度智能仪表和科学仪器研发制造</w:t>
      </w:r>
      <w:r>
        <w:rPr>
          <w:rFonts w:cs="Times New Roman"/>
          <w:color w:val="000000" w:themeColor="text1"/>
          <w14:textFill>
            <w14:solidFill>
              <w14:schemeClr w14:val="tx1"/>
            </w14:solidFill>
          </w14:textFill>
        </w:rPr>
        <w:br w:type="textWrapping"/>
      </w:r>
      <w:r>
        <w:rPr>
          <w:rFonts w:cs="Times New Roman"/>
          <w:color w:val="000000" w:themeColor="text1"/>
          <w14:textFill>
            <w14:solidFill>
              <w14:schemeClr w14:val="tx1"/>
            </w14:solidFill>
          </w14:textFill>
        </w:rPr>
        <w:t xml:space="preserve">    聚焦单相民用智能表、海外出口型多功能电表等全系列计量终端产品的全温区高精度计量、强电磁环境抗扰、多模可靠通信、高低温长期稳定等核心性能，重点突破三芯隔离计量架构、多通道同步采样算法、全兼容 HPLC/NB/4G 多模通信适配设计，实现高端智能电表核心计量单元、通信模组自主国产化替代；聚焦超高分辨显微镜在生命科学、材料科学、半导体检测等前沿领域的战略需求，重点突破共聚焦超分辨显微成像技术、多模态纳米分辨显微成像技术、单分子定位超分辨技术、实时超高速图像采集与处理技术等核心关键技术，攻克高数值孔径物镜设计与制造、纳米级压电精密定位、多激光器耦合与光谱分光、超高灵敏度探测器集成等核心器件自主化难题，实现超高时空分辨率、多模态融合成像、长时程活细胞观测等核心性能突破。 </w:t>
      </w:r>
    </w:p>
    <w:p w14:paraId="3B280A4F">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br w:type="page"/>
      </w:r>
    </w:p>
    <w:p w14:paraId="1560A334">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71" w:name="_Toc1712043525"/>
      <w:bookmarkStart w:id="72" w:name="_Toc447259399"/>
      <w:r>
        <w:rPr>
          <w:rFonts w:ascii="Times New Roman" w:hAnsi="Times New Roman"/>
          <w:color w:val="000000" w:themeColor="text1"/>
          <w14:textFill>
            <w14:solidFill>
              <w14:schemeClr w14:val="tx1"/>
            </w14:solidFill>
          </w14:textFill>
        </w:rPr>
        <w:t>新型光电显示产业链</w:t>
      </w:r>
      <w:bookmarkEnd w:id="71"/>
      <w:bookmarkEnd w:id="72"/>
    </w:p>
    <w:p w14:paraId="17FCB0B6">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新型光电显示产业是信息时代的终端基石与数字经济的关键赛道，贯通芯片、材料、装备、内容服务等全链条。产业链上游主要包括玻璃基板、偏光片、OLED有机材料、LED芯片等结构材料，溅射靶材、光刻胶、掩膜版、量子点材料等生产耗材，以及镀膜设备、图形化设备、巨量转移设备等核心装备；中游包括LCD、OLED、Mini/Micro-LED等面板制造组装及驱动背板、模组集成；下游广泛应用于智能手机、电视、平板电脑、车载显示、AR/VR可穿戴设备、大型商用显示等领域。</w:t>
      </w:r>
    </w:p>
    <w:p w14:paraId="764B0EC1">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本次</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指南</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主要聚焦于新型光电显示产业链上游关键材料与核心装备、中游高世代面板及Micro-LED微显示制造、下游新兴应用场景，重点突破OLED材料、精密光学膜、高世代显示面板、Micro-LED芯片及巨量转移、碳化硅光学器件、车载显示系统等关键环节。具体如下：</w:t>
      </w:r>
    </w:p>
    <w:p w14:paraId="3C3607B5">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指南1：高世代OLED显示面板制造及模组开发</w:t>
      </w:r>
    </w:p>
    <w:p w14:paraId="39BE277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高世代OLED面板高分辨率、高刷新率、低功耗、长寿命等核心性能，重点突破8.6代及以上高世代OLED产线工艺技术，攻克蒸镀设备精密对位、薄膜封装（TFE）技术、柔性基板贴合、喷墨打印（IJP）工艺等关键技术；开发适用于笔电、平板、电视等中大尺寸应用的OLED显示模组，突破高亮度、低延迟驱动技术；同步布局车载OLED显示面板，满足车规级可靠性、宽温域工作要求。</w:t>
      </w:r>
    </w:p>
    <w:p w14:paraId="30946412">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指南2：Micro-LED微显示芯片制造及巨量转移技术</w:t>
      </w:r>
    </w:p>
    <w:p w14:paraId="2C31B579">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聚焦Micro-LED微显示高亮度、高对比度、低功耗、快响应、长寿命（10万小时级）等终极显示性能，重点突破6英寸/8英寸Micro-LED RGB外延片生长、芯片制备（CoW）、芯片键合等前端工艺；攻克巨量转移（Mass Transfer）核心技术，包括印章转移（范德华力）、激光转移等高效精密转移工艺；开发巨量检测（AOI、PL、EL）与修复技术，突破MiP（Micro-LED in Package）封装方案，降低后段转移次数与修复难度。</w:t>
      </w:r>
    </w:p>
    <w:p w14:paraId="4805E454">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指南3：AR/VR微显示光学系统与碳化硅光学器件</w:t>
      </w:r>
    </w:p>
    <w:p w14:paraId="76561E52">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AR/VR近眼显示高像素密度、大视场角（FOV）、低时延、高透光率、轻量化等核心性能，重点突破硅基OLED（Micro-OLED）、LCOS、Micro-LED等微显示方案；开发碳化硅（SiC）光学镜片及光波导器件，利用碳化硅高折射率、高热导率、高透光率等特性，实现大视场角、低彩虹纹、长续航的AR显示效果；攻克纳米压印微纳加工技术，突破光栅结构精密成型与良率控制；开发光机引擎、衍射光波导</w:t>
      </w:r>
      <w:r>
        <w:rPr>
          <w:rFonts w:hint="eastAsia" w:cs="Times New Roman"/>
          <w:color w:val="000000" w:themeColor="text1"/>
          <w14:textFill>
            <w14:solidFill>
              <w14:schemeClr w14:val="tx1"/>
            </w14:solidFill>
          </w14:textFill>
        </w:rPr>
        <w:t>模组</w:t>
      </w:r>
      <w:r>
        <w:rPr>
          <w:rFonts w:cs="Times New Roman"/>
          <w:color w:val="000000" w:themeColor="text1"/>
          <w14:textFill>
            <w14:solidFill>
              <w14:schemeClr w14:val="tx1"/>
            </w14:solidFill>
          </w14:textFill>
        </w:rPr>
        <w:t>、Birdbath光学系统等关键组件。</w:t>
      </w:r>
    </w:p>
    <w:p w14:paraId="123DD22D">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指南4：新型光电显示材料自主研发与产业化</w:t>
      </w:r>
    </w:p>
    <w:p w14:paraId="33D0F843">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光电基础材料领域，重点攻关高端导电材料低阻抗传输技术，优化封装与互联材料高可靠粘接、耐老化、高稳定性能；迭代升级光学基材高透光、低畸变、低应力特性</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突破光学塑料超精密成型工艺。OLED显示材料领域，重点突破蓝光主体材料、热活化延迟荧光（TADF）材料、磷光材料、双主体红绿绿光材料</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开发电子传输层（ETL）、空穴传输层（HTL）等核心功能层材料；布局高精度金属掩膜版（FMM）、柔性封装材料、异方性导电胶膜（ACF）、高端光刻胶等关键生产耗材。光学膜、偏光片及光学玻璃领域，重点突破量子点膜、增亮膜、扩散膜、反射膜、柔性高阻隔基膜等高端光学功能</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研发超薄偏光片、柔性偏光片及配套光学补偿膜，</w:t>
      </w:r>
      <w:r>
        <w:rPr>
          <w:rFonts w:hint="eastAsia" w:cs="Times New Roman"/>
          <w:color w:val="000000" w:themeColor="text1"/>
          <w14:textFill>
            <w14:solidFill>
              <w14:schemeClr w14:val="tx1"/>
            </w14:solidFill>
          </w14:textFill>
        </w:rPr>
        <w:t>突破</w:t>
      </w:r>
      <w:r>
        <w:rPr>
          <w:rFonts w:cs="Times New Roman"/>
          <w:color w:val="000000" w:themeColor="text1"/>
          <w14:textFill>
            <w14:solidFill>
              <w14:schemeClr w14:val="tx1"/>
            </w14:solidFill>
          </w14:textFill>
        </w:rPr>
        <w:t>PVA精准拉伸、TAC薄膜超精密加工、AG蚀刻改性等关键工艺</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布局UTG超薄玻璃、PI/CPI柔性基底材料</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超高清</w:t>
      </w:r>
      <w:r>
        <w:rPr>
          <w:rFonts w:hint="eastAsia" w:cs="Times New Roman"/>
          <w:color w:val="000000" w:themeColor="text1"/>
          <w14:textFill>
            <w14:solidFill>
              <w14:schemeClr w14:val="tx1"/>
            </w14:solidFill>
          </w14:textFill>
        </w:rPr>
        <w:t>、低畸变</w:t>
      </w:r>
      <w:r>
        <w:rPr>
          <w:rFonts w:cs="Times New Roman"/>
          <w:color w:val="000000" w:themeColor="text1"/>
          <w14:textFill>
            <w14:solidFill>
              <w14:schemeClr w14:val="tx1"/>
            </w14:solidFill>
          </w14:textFill>
        </w:rPr>
        <w:t>光学玻璃</w:t>
      </w:r>
      <w:r>
        <w:rPr>
          <w:rFonts w:hint="eastAsia" w:cs="Times New Roman"/>
          <w:color w:val="000000" w:themeColor="text1"/>
          <w14:textFill>
            <w14:solidFill>
              <w14:schemeClr w14:val="tx1"/>
            </w14:solidFill>
          </w14:textFill>
        </w:rPr>
        <w:t>等</w:t>
      </w:r>
      <w:r>
        <w:rPr>
          <w:rFonts w:cs="Times New Roman"/>
          <w:color w:val="000000" w:themeColor="text1"/>
          <w14:textFill>
            <w14:solidFill>
              <w14:schemeClr w14:val="tx1"/>
            </w14:solidFill>
          </w14:textFill>
        </w:rPr>
        <w:t>。</w:t>
      </w:r>
    </w:p>
    <w:p w14:paraId="736B8D55">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指南5：高速光模块、高端光耦及全系列光传输器件产业化</w:t>
      </w:r>
    </w:p>
    <w:p w14:paraId="13132850">
      <w:pPr>
        <w:ind w:firstLine="64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 xml:space="preserve">高速光模块领域，重点攻关400G/800G高速光模块，前瞻布局1.6T及以上超高速光模块。重点突破硅光集成技术，攻克高精度光源耦合、高速电光调制、硅光芯片封装等核心难题，突破EML电吸收调制激光器、高速相干调制、低损耗信号传输等关键核心技术。高端光耦领域，聚焦高耐压、超高共模抑制比（CMTI）、超宽温域、低延时、高绝缘可靠性等核心指标，重点攻关高端隔离光耦器件。有源光器件领域，重点研发窄线宽激光器、磷化铟、薄膜铌酸锂调制器、高速VCSEL激光器、连续波（CW）激光器等高端有源器件。光传输器件领域，重点研发高性能光隔离器、光分路器、光耦合器、波分复用/解复用器、光口连接器、光纤衰减器、精密光纤连接器与FA光纤阵列等产品；迭代G.654.E超低损耗光纤、OM4/OM5高端多模光纤、空芯光纤、多芯光纤等新型高速传输光纤；攻关高速光收发组件、精密光封装基座、光纤跳线组件等配套产品。  </w:t>
      </w:r>
    </w:p>
    <w:p w14:paraId="68FD8E68">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指南6：显示驱动芯片、背板及全彩化解决方案</w:t>
      </w:r>
    </w:p>
    <w:p w14:paraId="09A5656A">
      <w:pPr>
        <w:ind w:firstLine="64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聚焦显示驱动芯片高集成度、低功耗、高刷新率等核心性能，重点突破AMOLED驱动IC、Micro-LED驱动IC、TFT/CMOS驱动背板设计及制造技术；开发适用于大尺寸、高分辨率的源极驱动、栅极驱动集成方案；攻克Micro-LED全彩化关键技术，包括原生RGB三色芯片方案、蓝光/UV芯片+量子点/荧光材料色彩转换方案、单片式水平/垂直堆叠方案、X-Cube棱镜合色方案等</w:t>
      </w:r>
      <w:r>
        <w:rPr>
          <w:rFonts w:hint="eastAsia" w:cs="Times New Roman"/>
          <w:color w:val="000000" w:themeColor="text1"/>
          <w14:textFill>
            <w14:solidFill>
              <w14:schemeClr w14:val="tx1"/>
            </w14:solidFill>
          </w14:textFill>
        </w:rPr>
        <w:t>，实现从FHD到8K超高清显示的全面覆盖。</w:t>
      </w:r>
    </w:p>
    <w:p w14:paraId="2B053A71">
      <w:pPr>
        <w:ind w:firstLine="640"/>
        <w:rPr>
          <w:color w:val="000000" w:themeColor="text1"/>
          <w14:textFill>
            <w14:solidFill>
              <w14:schemeClr w14:val="tx1"/>
            </w14:solidFill>
          </w14:textFill>
        </w:rPr>
      </w:pPr>
      <w:r>
        <w:rPr>
          <w:color w:val="000000" w:themeColor="text1"/>
          <w14:textFill>
            <w14:solidFill>
              <w14:schemeClr w14:val="tx1"/>
            </w14:solidFill>
          </w14:textFill>
        </w:rPr>
        <w:br w:type="page"/>
      </w:r>
    </w:p>
    <w:p w14:paraId="03875E27">
      <w:pPr>
        <w:pStyle w:val="25"/>
        <w:numPr>
          <w:ilvl w:val="0"/>
          <w:numId w:val="1"/>
        </w:numPr>
        <w:ind w:firstLine="643"/>
        <w:rPr>
          <w:rFonts w:hint="default" w:ascii="Times New Roman" w:hAnsi="Times New Roman"/>
          <w:color w:val="000000" w:themeColor="text1"/>
          <w14:textFill>
            <w14:solidFill>
              <w14:schemeClr w14:val="tx1"/>
            </w14:solidFill>
          </w14:textFill>
        </w:rPr>
      </w:pPr>
      <w:bookmarkStart w:id="73" w:name="_Toc770464788"/>
      <w:r>
        <w:rPr>
          <w:rFonts w:hint="default" w:ascii="Times New Roman" w:hAnsi="Times New Roman"/>
          <w:color w:val="000000" w:themeColor="text1"/>
          <w14:textFill>
            <w14:solidFill>
              <w14:schemeClr w14:val="tx1"/>
            </w14:solidFill>
          </w14:textFill>
        </w:rPr>
        <w:t>未来产业</w:t>
      </w:r>
      <w:bookmarkEnd w:id="73"/>
    </w:p>
    <w:p w14:paraId="108D6CE5">
      <w:pPr>
        <w:ind w:firstLine="643"/>
        <w:outlineLvl w:val="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指南：新兴未来领域产业化项目建设</w:t>
      </w:r>
    </w:p>
    <w:p w14:paraId="5A9A067E">
      <w:pPr>
        <w:ind w:firstLine="640"/>
        <w:rPr>
          <w:color w:val="000000" w:themeColor="text1"/>
          <w14:textFill>
            <w14:solidFill>
              <w14:schemeClr w14:val="tx1"/>
            </w14:solidFill>
          </w14:textFill>
        </w:rPr>
      </w:pPr>
      <w:r>
        <w:rPr>
          <w:color w:val="000000" w:themeColor="text1"/>
          <w14:textFill>
            <w14:solidFill>
              <w14:schemeClr w14:val="tx1"/>
            </w14:solidFill>
          </w14:textFill>
        </w:rPr>
        <w:t>未来产业是由前沿技术驱动，具有显著战略性、引领性、颠覆性和不确定性的前瞻性新兴产业。聚焦前沿新材料（石墨烯、柔性电子、新一代半导体材料、超硬材料、先进3D打印材料、智能仿生材料、超导材料、碳纳米管、非晶/纳米晶材料）、可控核聚变（核聚变关键</w:t>
      </w:r>
      <w:r>
        <w:rPr>
          <w:rFonts w:hint="eastAsia"/>
          <w:color w:val="000000" w:themeColor="text1"/>
          <w14:textFill>
            <w14:solidFill>
              <w14:schemeClr w14:val="tx1"/>
            </w14:solidFill>
          </w14:textFill>
        </w:rPr>
        <w:t>材</w:t>
      </w:r>
      <w:r>
        <w:rPr>
          <w:color w:val="000000" w:themeColor="text1"/>
          <w14:textFill>
            <w14:solidFill>
              <w14:schemeClr w14:val="tx1"/>
            </w14:solidFill>
          </w14:textFill>
        </w:rPr>
        <w:t>料）、深海（深海机器人、深海声呐系统、深海矿产开发装备、深远海养殖装备）、量子科技（量子计算机、抗量子密码产品、原子钟</w:t>
      </w:r>
      <w:r>
        <w:rPr>
          <w:rFonts w:hint="eastAsia"/>
          <w:color w:val="000000" w:themeColor="text1"/>
          <w14:textFill>
            <w14:solidFill>
              <w14:schemeClr w14:val="tx1"/>
            </w14:solidFill>
          </w14:textFill>
        </w:rPr>
        <w:t>等</w:t>
      </w:r>
      <w:r>
        <w:rPr>
          <w:color w:val="000000" w:themeColor="text1"/>
          <w14:textFill>
            <w14:solidFill>
              <w14:schemeClr w14:val="tx1"/>
            </w14:solidFill>
          </w14:textFill>
        </w:rPr>
        <w:t>）、脑机接口（类脑计算芯片、脑机接口芯片及电极、脑机数据采集设备、脑机外部控制设备、类脑计算机）、激光制造（高功率光纤激光器、高功率激光精密加工设备）等前沿新赛道，聚焦未来产业标志性产品，开展前沿引领技术研究与产业链关键核心技术攻关，围绕先进技术率先量产、强化产业基础、提升产业链韧性等方面开展的应用示范。</w:t>
      </w:r>
    </w:p>
    <w:sectPr>
      <w:pgSz w:w="11906" w:h="16838"/>
      <w:pgMar w:top="2098" w:right="1474" w:bottom="1814" w:left="1587"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创艺简标宋">
    <w:altName w:val="方正小标宋简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C37DE">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DD75E">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14DD2">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94EFE">
    <w:pPr>
      <w:pStyle w:val="11"/>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5B890E">
                          <w:pPr>
                            <w:pStyle w:val="11"/>
                            <w:ind w:firstLine="36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7A5B890E">
                    <w:pPr>
                      <w:pStyle w:val="11"/>
                      <w:ind w:firstLine="360"/>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B3E0D">
    <w:pPr>
      <w:pStyle w:val="11"/>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7BD399C">
                          <w:pPr>
                            <w:pStyle w:val="11"/>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67BD399C">
                    <w:pPr>
                      <w:pStyle w:val="11"/>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567E5">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02C13">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C818C">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0349B"/>
    <w:multiLevelType w:val="singleLevel"/>
    <w:tmpl w:val="87A0349B"/>
    <w:lvl w:ilvl="0" w:tentative="0">
      <w:start w:val="1"/>
      <w:numFmt w:val="decimal"/>
      <w:pStyle w:val="23"/>
      <w:suff w:val="nothing"/>
      <w:lvlText w:val="%1."/>
      <w:lvlJc w:val="left"/>
      <w:pPr>
        <w:tabs>
          <w:tab w:val="left" w:pos="420"/>
        </w:tabs>
        <w:ind w:left="0" w:firstLine="0"/>
      </w:pPr>
      <w:rPr>
        <w:rFonts w:hint="default"/>
      </w:rPr>
    </w:lvl>
  </w:abstractNum>
  <w:abstractNum w:abstractNumId="1">
    <w:nsid w:val="896F3BCA"/>
    <w:multiLevelType w:val="singleLevel"/>
    <w:tmpl w:val="896F3BCA"/>
    <w:lvl w:ilvl="0" w:tentative="0">
      <w:start w:val="1"/>
      <w:numFmt w:val="chineseCounting"/>
      <w:pStyle w:val="25"/>
      <w:suff w:val="nothing"/>
      <w:lvlText w:val="%1、"/>
      <w:lvlJc w:val="left"/>
      <w:pPr>
        <w:ind w:left="0" w:firstLine="420"/>
      </w:pPr>
      <w:rPr>
        <w:rFonts w:hint="eastAsia"/>
      </w:rPr>
    </w:lvl>
  </w:abstractNum>
  <w:abstractNum w:abstractNumId="2">
    <w:nsid w:val="D45FA92C"/>
    <w:multiLevelType w:val="singleLevel"/>
    <w:tmpl w:val="D45FA92C"/>
    <w:lvl w:ilvl="0" w:tentative="0">
      <w:start w:val="1"/>
      <w:numFmt w:val="decimal"/>
      <w:pStyle w:val="24"/>
      <w:lvlText w:val="(%1)"/>
      <w:lvlJc w:val="left"/>
      <w:pPr>
        <w:ind w:left="425" w:hanging="425"/>
      </w:pPr>
      <w:rPr>
        <w:rFonts w:hint="default"/>
      </w:rPr>
    </w:lvl>
  </w:abstractNum>
  <w:abstractNum w:abstractNumId="3">
    <w:nsid w:val="153203C7"/>
    <w:multiLevelType w:val="multilevel"/>
    <w:tmpl w:val="153203C7"/>
    <w:lvl w:ilvl="0" w:tentative="0">
      <w:start w:val="1"/>
      <w:numFmt w:val="decimal"/>
      <w:suff w:val="nothing"/>
      <w:lvlText w:val="%1"/>
      <w:lvlJc w:val="left"/>
      <w:pPr>
        <w:ind w:left="0" w:firstLine="0"/>
      </w:pPr>
      <w:rPr>
        <w:rFonts w:hint="default"/>
      </w:rPr>
    </w:lvl>
    <w:lvl w:ilvl="1" w:tentative="0">
      <w:start w:val="1"/>
      <w:numFmt w:val="decimal"/>
      <w:pStyle w:val="22"/>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5B38AB91"/>
    <w:multiLevelType w:val="multilevel"/>
    <w:tmpl w:val="5B38AB91"/>
    <w:lvl w:ilvl="0" w:tentative="0">
      <w:start w:val="1"/>
      <w:numFmt w:val="chineseCounting"/>
      <w:pStyle w:val="27"/>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708F"/>
    <w:rsid w:val="000B78E7"/>
    <w:rsid w:val="00172A27"/>
    <w:rsid w:val="00180F93"/>
    <w:rsid w:val="001B1ED7"/>
    <w:rsid w:val="0021008B"/>
    <w:rsid w:val="003A5789"/>
    <w:rsid w:val="00463393"/>
    <w:rsid w:val="004E40D5"/>
    <w:rsid w:val="0051067A"/>
    <w:rsid w:val="005664E0"/>
    <w:rsid w:val="005B75AD"/>
    <w:rsid w:val="00612345"/>
    <w:rsid w:val="007B54DF"/>
    <w:rsid w:val="007C6A66"/>
    <w:rsid w:val="008424D0"/>
    <w:rsid w:val="008963D4"/>
    <w:rsid w:val="008971BC"/>
    <w:rsid w:val="00A55754"/>
    <w:rsid w:val="00A96419"/>
    <w:rsid w:val="00BC1706"/>
    <w:rsid w:val="00EC218E"/>
    <w:rsid w:val="00FE2020"/>
    <w:rsid w:val="02964048"/>
    <w:rsid w:val="03045209"/>
    <w:rsid w:val="031D02A0"/>
    <w:rsid w:val="032C1983"/>
    <w:rsid w:val="03407AB9"/>
    <w:rsid w:val="03C75A61"/>
    <w:rsid w:val="03FE41F8"/>
    <w:rsid w:val="04216ADC"/>
    <w:rsid w:val="04C218DA"/>
    <w:rsid w:val="0536769A"/>
    <w:rsid w:val="057E3610"/>
    <w:rsid w:val="05DE60F3"/>
    <w:rsid w:val="06256D71"/>
    <w:rsid w:val="06632D1B"/>
    <w:rsid w:val="06A37BC1"/>
    <w:rsid w:val="06B73D4C"/>
    <w:rsid w:val="06C82E06"/>
    <w:rsid w:val="06D413C9"/>
    <w:rsid w:val="085801BC"/>
    <w:rsid w:val="09CD691D"/>
    <w:rsid w:val="09D30340"/>
    <w:rsid w:val="0A8708B6"/>
    <w:rsid w:val="0AB84300"/>
    <w:rsid w:val="0B3EBC11"/>
    <w:rsid w:val="0BBED43B"/>
    <w:rsid w:val="0CD4161D"/>
    <w:rsid w:val="0D7F6421"/>
    <w:rsid w:val="0DCC0C7B"/>
    <w:rsid w:val="0E192191"/>
    <w:rsid w:val="0EF5831C"/>
    <w:rsid w:val="0FFA7678"/>
    <w:rsid w:val="103A78D0"/>
    <w:rsid w:val="10B3177F"/>
    <w:rsid w:val="133F6550"/>
    <w:rsid w:val="144D71FC"/>
    <w:rsid w:val="149D7EE0"/>
    <w:rsid w:val="14DF68CB"/>
    <w:rsid w:val="15461C31"/>
    <w:rsid w:val="155B01A9"/>
    <w:rsid w:val="158B2B68"/>
    <w:rsid w:val="15F01D49"/>
    <w:rsid w:val="15FB964B"/>
    <w:rsid w:val="160E4361"/>
    <w:rsid w:val="164A7572"/>
    <w:rsid w:val="167944EA"/>
    <w:rsid w:val="16E96798"/>
    <w:rsid w:val="16F54F1F"/>
    <w:rsid w:val="16F61228"/>
    <w:rsid w:val="178A0E10"/>
    <w:rsid w:val="17CB558D"/>
    <w:rsid w:val="18316B9F"/>
    <w:rsid w:val="18CD0449"/>
    <w:rsid w:val="191C1B64"/>
    <w:rsid w:val="19361B10"/>
    <w:rsid w:val="19CB76F3"/>
    <w:rsid w:val="1A1250EC"/>
    <w:rsid w:val="1B1F2FB9"/>
    <w:rsid w:val="1BBDE19C"/>
    <w:rsid w:val="1CA05851"/>
    <w:rsid w:val="1D4B3699"/>
    <w:rsid w:val="1D5D79C5"/>
    <w:rsid w:val="1D6208E7"/>
    <w:rsid w:val="1D7B36DE"/>
    <w:rsid w:val="1D881FA9"/>
    <w:rsid w:val="1E59660F"/>
    <w:rsid w:val="1EA79769"/>
    <w:rsid w:val="1EDB2D30"/>
    <w:rsid w:val="1EDB2E6A"/>
    <w:rsid w:val="1EF61066"/>
    <w:rsid w:val="1F779B0F"/>
    <w:rsid w:val="1FDF63D0"/>
    <w:rsid w:val="1FFD2129"/>
    <w:rsid w:val="1FFEBCFC"/>
    <w:rsid w:val="2004402A"/>
    <w:rsid w:val="20335BBB"/>
    <w:rsid w:val="21746F63"/>
    <w:rsid w:val="23A8337D"/>
    <w:rsid w:val="23C40DAA"/>
    <w:rsid w:val="244D1BD9"/>
    <w:rsid w:val="24775D23"/>
    <w:rsid w:val="24D54E21"/>
    <w:rsid w:val="255275A2"/>
    <w:rsid w:val="259553CF"/>
    <w:rsid w:val="25FD294E"/>
    <w:rsid w:val="26B127B1"/>
    <w:rsid w:val="27885E25"/>
    <w:rsid w:val="27AF7C54"/>
    <w:rsid w:val="27CA1974"/>
    <w:rsid w:val="28846321"/>
    <w:rsid w:val="291F1BC0"/>
    <w:rsid w:val="29542772"/>
    <w:rsid w:val="29BE67CE"/>
    <w:rsid w:val="2A2E428F"/>
    <w:rsid w:val="2A4F9C51"/>
    <w:rsid w:val="2A9161D4"/>
    <w:rsid w:val="2ABE6824"/>
    <w:rsid w:val="2B1C4F36"/>
    <w:rsid w:val="2BF9995C"/>
    <w:rsid w:val="2C5F4C95"/>
    <w:rsid w:val="2C8352F3"/>
    <w:rsid w:val="2CDD4777"/>
    <w:rsid w:val="2D970800"/>
    <w:rsid w:val="2D9B2143"/>
    <w:rsid w:val="2E185D72"/>
    <w:rsid w:val="2E713798"/>
    <w:rsid w:val="2E9BCB0B"/>
    <w:rsid w:val="2EBD94F4"/>
    <w:rsid w:val="2EEFCAD6"/>
    <w:rsid w:val="2EF064BE"/>
    <w:rsid w:val="2EFE35DD"/>
    <w:rsid w:val="2EFF7F10"/>
    <w:rsid w:val="2F5C469A"/>
    <w:rsid w:val="2F7F7D75"/>
    <w:rsid w:val="2F7FFA19"/>
    <w:rsid w:val="2FFB829D"/>
    <w:rsid w:val="301E7882"/>
    <w:rsid w:val="30F04C30"/>
    <w:rsid w:val="31424120"/>
    <w:rsid w:val="31442AF1"/>
    <w:rsid w:val="314F2424"/>
    <w:rsid w:val="31C66232"/>
    <w:rsid w:val="31CE1516"/>
    <w:rsid w:val="32142838"/>
    <w:rsid w:val="32210F44"/>
    <w:rsid w:val="3243315B"/>
    <w:rsid w:val="32A46347"/>
    <w:rsid w:val="33353684"/>
    <w:rsid w:val="338E6524"/>
    <w:rsid w:val="33A74CA9"/>
    <w:rsid w:val="33B36501"/>
    <w:rsid w:val="34917C9B"/>
    <w:rsid w:val="3509042F"/>
    <w:rsid w:val="369817C9"/>
    <w:rsid w:val="36D60A2B"/>
    <w:rsid w:val="36DEBD96"/>
    <w:rsid w:val="370C6B22"/>
    <w:rsid w:val="37FF0C9B"/>
    <w:rsid w:val="381073E3"/>
    <w:rsid w:val="38943D71"/>
    <w:rsid w:val="38D23351"/>
    <w:rsid w:val="38EE3DA1"/>
    <w:rsid w:val="395D579E"/>
    <w:rsid w:val="39D973A2"/>
    <w:rsid w:val="39DC3AE5"/>
    <w:rsid w:val="3ABB1D60"/>
    <w:rsid w:val="3B3F7888"/>
    <w:rsid w:val="3B57FFA9"/>
    <w:rsid w:val="3B9A9EF0"/>
    <w:rsid w:val="3BDFF62C"/>
    <w:rsid w:val="3BF171EE"/>
    <w:rsid w:val="3BF53578"/>
    <w:rsid w:val="3BF78C1F"/>
    <w:rsid w:val="3BFFACA6"/>
    <w:rsid w:val="3C34250B"/>
    <w:rsid w:val="3C7F011B"/>
    <w:rsid w:val="3CB1067B"/>
    <w:rsid w:val="3CBB4804"/>
    <w:rsid w:val="3D126CC4"/>
    <w:rsid w:val="3D395916"/>
    <w:rsid w:val="3DDF20A8"/>
    <w:rsid w:val="3DEF5E80"/>
    <w:rsid w:val="3DF30FAE"/>
    <w:rsid w:val="3DFB7E6E"/>
    <w:rsid w:val="3E6CD360"/>
    <w:rsid w:val="3EAF7A6F"/>
    <w:rsid w:val="3EEC11C8"/>
    <w:rsid w:val="3F37E0F6"/>
    <w:rsid w:val="3F3D9399"/>
    <w:rsid w:val="3F4CD970"/>
    <w:rsid w:val="3F5D2EF8"/>
    <w:rsid w:val="3F7EAAE0"/>
    <w:rsid w:val="3F877FF5"/>
    <w:rsid w:val="3FB6D6BE"/>
    <w:rsid w:val="3FDF9ABC"/>
    <w:rsid w:val="3FE83C1C"/>
    <w:rsid w:val="3FEF4993"/>
    <w:rsid w:val="3FF7A6DE"/>
    <w:rsid w:val="408829FA"/>
    <w:rsid w:val="42823479"/>
    <w:rsid w:val="42C12FF9"/>
    <w:rsid w:val="42CFF5CC"/>
    <w:rsid w:val="42E94DDC"/>
    <w:rsid w:val="434C77B8"/>
    <w:rsid w:val="43DD0949"/>
    <w:rsid w:val="43EF9EF9"/>
    <w:rsid w:val="44056110"/>
    <w:rsid w:val="44E728FB"/>
    <w:rsid w:val="45751FF7"/>
    <w:rsid w:val="466B7331"/>
    <w:rsid w:val="46781D94"/>
    <w:rsid w:val="47491BC6"/>
    <w:rsid w:val="479D5F23"/>
    <w:rsid w:val="47AC3D8C"/>
    <w:rsid w:val="47BD3EFE"/>
    <w:rsid w:val="481A31CF"/>
    <w:rsid w:val="494B4B73"/>
    <w:rsid w:val="49D64A79"/>
    <w:rsid w:val="49D95704"/>
    <w:rsid w:val="4B2F0B87"/>
    <w:rsid w:val="4B8A570A"/>
    <w:rsid w:val="4BBD0E32"/>
    <w:rsid w:val="4BBF3685"/>
    <w:rsid w:val="4BF72C74"/>
    <w:rsid w:val="4C7979DA"/>
    <w:rsid w:val="4CA8742E"/>
    <w:rsid w:val="4D913C92"/>
    <w:rsid w:val="4E2A34BC"/>
    <w:rsid w:val="4EF68A8A"/>
    <w:rsid w:val="4F096ACB"/>
    <w:rsid w:val="4F0973FC"/>
    <w:rsid w:val="4F133555"/>
    <w:rsid w:val="4F405B3D"/>
    <w:rsid w:val="4F7B1911"/>
    <w:rsid w:val="4FBB9BA1"/>
    <w:rsid w:val="4FEC2873"/>
    <w:rsid w:val="50166121"/>
    <w:rsid w:val="50386BFD"/>
    <w:rsid w:val="50446466"/>
    <w:rsid w:val="508955AE"/>
    <w:rsid w:val="508E7BB8"/>
    <w:rsid w:val="50A579F7"/>
    <w:rsid w:val="51367EEF"/>
    <w:rsid w:val="51A768EE"/>
    <w:rsid w:val="51A96983"/>
    <w:rsid w:val="51D51818"/>
    <w:rsid w:val="51DF5AF8"/>
    <w:rsid w:val="52AC2E53"/>
    <w:rsid w:val="52C63AC9"/>
    <w:rsid w:val="531807A3"/>
    <w:rsid w:val="53725E69"/>
    <w:rsid w:val="537F7AD4"/>
    <w:rsid w:val="53D7A3FF"/>
    <w:rsid w:val="53F9741B"/>
    <w:rsid w:val="544F7466"/>
    <w:rsid w:val="54FFC785"/>
    <w:rsid w:val="56A812A9"/>
    <w:rsid w:val="56DDF3BE"/>
    <w:rsid w:val="56DF094E"/>
    <w:rsid w:val="570E79C9"/>
    <w:rsid w:val="57843EEE"/>
    <w:rsid w:val="57BE867B"/>
    <w:rsid w:val="57E97DCB"/>
    <w:rsid w:val="57F8E97D"/>
    <w:rsid w:val="57FF36B9"/>
    <w:rsid w:val="584559A7"/>
    <w:rsid w:val="587B7F88"/>
    <w:rsid w:val="589F77C4"/>
    <w:rsid w:val="58BF2CDE"/>
    <w:rsid w:val="58C54038"/>
    <w:rsid w:val="59FD8E3E"/>
    <w:rsid w:val="59FEF43E"/>
    <w:rsid w:val="5A1153B7"/>
    <w:rsid w:val="5B555777"/>
    <w:rsid w:val="5B72536E"/>
    <w:rsid w:val="5B7F3423"/>
    <w:rsid w:val="5BFA0B93"/>
    <w:rsid w:val="5D2B4EC5"/>
    <w:rsid w:val="5D3F02E3"/>
    <w:rsid w:val="5D82566E"/>
    <w:rsid w:val="5D9BD057"/>
    <w:rsid w:val="5DAD0D76"/>
    <w:rsid w:val="5DF1BE88"/>
    <w:rsid w:val="5DF1DDA5"/>
    <w:rsid w:val="5DFE2A8C"/>
    <w:rsid w:val="5E484F5D"/>
    <w:rsid w:val="5E930A90"/>
    <w:rsid w:val="5EB6D3CD"/>
    <w:rsid w:val="5ED37516"/>
    <w:rsid w:val="5EEB1076"/>
    <w:rsid w:val="5EF68608"/>
    <w:rsid w:val="5EFD16A4"/>
    <w:rsid w:val="5F096C4E"/>
    <w:rsid w:val="5F2FA0CB"/>
    <w:rsid w:val="5F6F0E54"/>
    <w:rsid w:val="5F7B60CC"/>
    <w:rsid w:val="5FAE190C"/>
    <w:rsid w:val="5FB0702D"/>
    <w:rsid w:val="5FB7871B"/>
    <w:rsid w:val="5FD76035"/>
    <w:rsid w:val="5FD95EF7"/>
    <w:rsid w:val="5FDA5E49"/>
    <w:rsid w:val="5FDF3861"/>
    <w:rsid w:val="5FF3D42F"/>
    <w:rsid w:val="5FFD2FED"/>
    <w:rsid w:val="5FFF2726"/>
    <w:rsid w:val="5FFF8982"/>
    <w:rsid w:val="5FFFD30C"/>
    <w:rsid w:val="60824919"/>
    <w:rsid w:val="60B10FAC"/>
    <w:rsid w:val="60B16A2C"/>
    <w:rsid w:val="60B46A9C"/>
    <w:rsid w:val="61B01959"/>
    <w:rsid w:val="61E36039"/>
    <w:rsid w:val="62017395"/>
    <w:rsid w:val="629D04DF"/>
    <w:rsid w:val="62AC5451"/>
    <w:rsid w:val="630B5CEE"/>
    <w:rsid w:val="6317608C"/>
    <w:rsid w:val="633FBB4B"/>
    <w:rsid w:val="63A50D30"/>
    <w:rsid w:val="63A70E45"/>
    <w:rsid w:val="64240EBC"/>
    <w:rsid w:val="6449126D"/>
    <w:rsid w:val="644A1C3A"/>
    <w:rsid w:val="65ED1C09"/>
    <w:rsid w:val="65F5FB3E"/>
    <w:rsid w:val="65F938CF"/>
    <w:rsid w:val="660FEEE1"/>
    <w:rsid w:val="66CA526B"/>
    <w:rsid w:val="66F74654"/>
    <w:rsid w:val="677988A5"/>
    <w:rsid w:val="678BA6F0"/>
    <w:rsid w:val="67BD9A21"/>
    <w:rsid w:val="67C7EA21"/>
    <w:rsid w:val="67CE89C2"/>
    <w:rsid w:val="67D527BA"/>
    <w:rsid w:val="684277C2"/>
    <w:rsid w:val="68CF5E35"/>
    <w:rsid w:val="69DBD96F"/>
    <w:rsid w:val="69EB0C97"/>
    <w:rsid w:val="6A7928A4"/>
    <w:rsid w:val="6AA5314F"/>
    <w:rsid w:val="6AB77258"/>
    <w:rsid w:val="6AE9D03C"/>
    <w:rsid w:val="6AFBA3DA"/>
    <w:rsid w:val="6B275334"/>
    <w:rsid w:val="6B3F39BC"/>
    <w:rsid w:val="6B55493D"/>
    <w:rsid w:val="6B7CB5B2"/>
    <w:rsid w:val="6B7E9F64"/>
    <w:rsid w:val="6BBF67B8"/>
    <w:rsid w:val="6BF75276"/>
    <w:rsid w:val="6CD77ACE"/>
    <w:rsid w:val="6CDF7DE9"/>
    <w:rsid w:val="6D706A2D"/>
    <w:rsid w:val="6DC81379"/>
    <w:rsid w:val="6DEF682F"/>
    <w:rsid w:val="6E0A49F0"/>
    <w:rsid w:val="6E26C30B"/>
    <w:rsid w:val="6EB572D1"/>
    <w:rsid w:val="6ED57AA7"/>
    <w:rsid w:val="6EEFD284"/>
    <w:rsid w:val="6EFE3CDD"/>
    <w:rsid w:val="6F2FD8C8"/>
    <w:rsid w:val="6F71006A"/>
    <w:rsid w:val="6F749D6B"/>
    <w:rsid w:val="6F80666B"/>
    <w:rsid w:val="6F98E0B0"/>
    <w:rsid w:val="6F992803"/>
    <w:rsid w:val="6F9C0315"/>
    <w:rsid w:val="6FBB623F"/>
    <w:rsid w:val="6FBC9878"/>
    <w:rsid w:val="6FBF1C1B"/>
    <w:rsid w:val="6FD76490"/>
    <w:rsid w:val="6FDF0910"/>
    <w:rsid w:val="6FF0B438"/>
    <w:rsid w:val="6FF0D1BB"/>
    <w:rsid w:val="6FF5C817"/>
    <w:rsid w:val="6FFEF8BA"/>
    <w:rsid w:val="6FFF9039"/>
    <w:rsid w:val="706933FF"/>
    <w:rsid w:val="7090352F"/>
    <w:rsid w:val="713C16C6"/>
    <w:rsid w:val="71FFE092"/>
    <w:rsid w:val="721431B6"/>
    <w:rsid w:val="72324A62"/>
    <w:rsid w:val="72342998"/>
    <w:rsid w:val="736176B0"/>
    <w:rsid w:val="73C90572"/>
    <w:rsid w:val="73F77134"/>
    <w:rsid w:val="742D7251"/>
    <w:rsid w:val="74B35591"/>
    <w:rsid w:val="74BBF4BE"/>
    <w:rsid w:val="754E414E"/>
    <w:rsid w:val="75B640B4"/>
    <w:rsid w:val="75BF6325"/>
    <w:rsid w:val="75DDDF31"/>
    <w:rsid w:val="75FF2601"/>
    <w:rsid w:val="76751A21"/>
    <w:rsid w:val="76FE57EF"/>
    <w:rsid w:val="775B269F"/>
    <w:rsid w:val="77612697"/>
    <w:rsid w:val="777F7922"/>
    <w:rsid w:val="77BEA8F0"/>
    <w:rsid w:val="77CFB327"/>
    <w:rsid w:val="77E3179F"/>
    <w:rsid w:val="77E94D30"/>
    <w:rsid w:val="77F61EB1"/>
    <w:rsid w:val="77F68381"/>
    <w:rsid w:val="78B012B3"/>
    <w:rsid w:val="78D64319"/>
    <w:rsid w:val="79554E68"/>
    <w:rsid w:val="796DADF6"/>
    <w:rsid w:val="79D7CE0F"/>
    <w:rsid w:val="79DB29D6"/>
    <w:rsid w:val="79FDB5A8"/>
    <w:rsid w:val="79FEEFAE"/>
    <w:rsid w:val="79FFCA22"/>
    <w:rsid w:val="7A5E74F7"/>
    <w:rsid w:val="7A711AAC"/>
    <w:rsid w:val="7A9F662E"/>
    <w:rsid w:val="7AA50028"/>
    <w:rsid w:val="7AB31395"/>
    <w:rsid w:val="7ADCE592"/>
    <w:rsid w:val="7ADE95DD"/>
    <w:rsid w:val="7AF8307F"/>
    <w:rsid w:val="7B3333C3"/>
    <w:rsid w:val="7B392A50"/>
    <w:rsid w:val="7B575AC0"/>
    <w:rsid w:val="7B5EE1BB"/>
    <w:rsid w:val="7B77D25D"/>
    <w:rsid w:val="7BA3D671"/>
    <w:rsid w:val="7BCB250E"/>
    <w:rsid w:val="7BD7F0F4"/>
    <w:rsid w:val="7BEB24F9"/>
    <w:rsid w:val="7BEC385E"/>
    <w:rsid w:val="7BEE6EAE"/>
    <w:rsid w:val="7BEFEC7B"/>
    <w:rsid w:val="7BFBA6B0"/>
    <w:rsid w:val="7BFF4EE8"/>
    <w:rsid w:val="7BFFD6CD"/>
    <w:rsid w:val="7C0FE9D5"/>
    <w:rsid w:val="7C4902F7"/>
    <w:rsid w:val="7C5C43B0"/>
    <w:rsid w:val="7C73CE46"/>
    <w:rsid w:val="7C873CB2"/>
    <w:rsid w:val="7CB3C03D"/>
    <w:rsid w:val="7CEA3405"/>
    <w:rsid w:val="7CF72118"/>
    <w:rsid w:val="7D57E9A2"/>
    <w:rsid w:val="7D5E518A"/>
    <w:rsid w:val="7D94F530"/>
    <w:rsid w:val="7D9F3B8B"/>
    <w:rsid w:val="7DB53417"/>
    <w:rsid w:val="7DBB13AF"/>
    <w:rsid w:val="7DBB22F8"/>
    <w:rsid w:val="7DEF640A"/>
    <w:rsid w:val="7DEFB04B"/>
    <w:rsid w:val="7DF3B3C6"/>
    <w:rsid w:val="7DFE4477"/>
    <w:rsid w:val="7DFFAB6C"/>
    <w:rsid w:val="7DFFBF0E"/>
    <w:rsid w:val="7DFFD345"/>
    <w:rsid w:val="7E100C4F"/>
    <w:rsid w:val="7E158F18"/>
    <w:rsid w:val="7E3F0186"/>
    <w:rsid w:val="7E43B155"/>
    <w:rsid w:val="7E5558A2"/>
    <w:rsid w:val="7E5EAACA"/>
    <w:rsid w:val="7E773F12"/>
    <w:rsid w:val="7E7F3969"/>
    <w:rsid w:val="7E7FF6D3"/>
    <w:rsid w:val="7E95CDB5"/>
    <w:rsid w:val="7EAE43E5"/>
    <w:rsid w:val="7EB79DD3"/>
    <w:rsid w:val="7EC3499D"/>
    <w:rsid w:val="7EE7C99A"/>
    <w:rsid w:val="7EFBADC9"/>
    <w:rsid w:val="7EFF3F9B"/>
    <w:rsid w:val="7F0005FE"/>
    <w:rsid w:val="7F37A04D"/>
    <w:rsid w:val="7F3DAB3E"/>
    <w:rsid w:val="7F4E8ACE"/>
    <w:rsid w:val="7F7150BA"/>
    <w:rsid w:val="7F7C2B51"/>
    <w:rsid w:val="7F7FC8A3"/>
    <w:rsid w:val="7FA521F7"/>
    <w:rsid w:val="7FADB05A"/>
    <w:rsid w:val="7FAF73AC"/>
    <w:rsid w:val="7FB3339F"/>
    <w:rsid w:val="7FBD7F5C"/>
    <w:rsid w:val="7FD74EB7"/>
    <w:rsid w:val="7FD7CC58"/>
    <w:rsid w:val="7FDEF221"/>
    <w:rsid w:val="7FDFD93D"/>
    <w:rsid w:val="7FE1C17F"/>
    <w:rsid w:val="7FE7AE82"/>
    <w:rsid w:val="7FEF6431"/>
    <w:rsid w:val="7FEFDC97"/>
    <w:rsid w:val="7FF2E8C4"/>
    <w:rsid w:val="7FF35A16"/>
    <w:rsid w:val="7FF617B0"/>
    <w:rsid w:val="7FFD3F51"/>
    <w:rsid w:val="7FFDE281"/>
    <w:rsid w:val="7FFEE3EB"/>
    <w:rsid w:val="7FFEEDBE"/>
    <w:rsid w:val="7FFF8379"/>
    <w:rsid w:val="8517D29C"/>
    <w:rsid w:val="8ADE8FBA"/>
    <w:rsid w:val="8BBBCFC8"/>
    <w:rsid w:val="8D32E2DD"/>
    <w:rsid w:val="8EDF4E7A"/>
    <w:rsid w:val="93EF886C"/>
    <w:rsid w:val="987BADCF"/>
    <w:rsid w:val="9AFF9651"/>
    <w:rsid w:val="9D278FA9"/>
    <w:rsid w:val="9D7F6F4A"/>
    <w:rsid w:val="9DFE3B32"/>
    <w:rsid w:val="9E516CC6"/>
    <w:rsid w:val="9EEC3BCC"/>
    <w:rsid w:val="9EFBBF41"/>
    <w:rsid w:val="9EFDA102"/>
    <w:rsid w:val="9F3FEB72"/>
    <w:rsid w:val="9F9BF0DD"/>
    <w:rsid w:val="9FDD7DB5"/>
    <w:rsid w:val="9FEF474D"/>
    <w:rsid w:val="A3F76C56"/>
    <w:rsid w:val="AAEE2B6C"/>
    <w:rsid w:val="ABBFFF04"/>
    <w:rsid w:val="ABE1E0F0"/>
    <w:rsid w:val="ADFF596D"/>
    <w:rsid w:val="AE7E88E2"/>
    <w:rsid w:val="AEB7E15D"/>
    <w:rsid w:val="AEBF7D99"/>
    <w:rsid w:val="AFC1F383"/>
    <w:rsid w:val="AFE35E73"/>
    <w:rsid w:val="B1FC47D8"/>
    <w:rsid w:val="B3BFB705"/>
    <w:rsid w:val="B3FDDB76"/>
    <w:rsid w:val="B3FF1C68"/>
    <w:rsid w:val="B5F71CB4"/>
    <w:rsid w:val="B67DFAD4"/>
    <w:rsid w:val="B6DFEFB9"/>
    <w:rsid w:val="B7AF1AC6"/>
    <w:rsid w:val="B7B7D203"/>
    <w:rsid w:val="BADF7685"/>
    <w:rsid w:val="BB3BBCD7"/>
    <w:rsid w:val="BB9EB435"/>
    <w:rsid w:val="BBAF3186"/>
    <w:rsid w:val="BBBF2545"/>
    <w:rsid w:val="BCBDCCBE"/>
    <w:rsid w:val="BCFFC6F3"/>
    <w:rsid w:val="BD664783"/>
    <w:rsid w:val="BD6E2E91"/>
    <w:rsid w:val="BDE399FC"/>
    <w:rsid w:val="BE6C83A2"/>
    <w:rsid w:val="BF6E4B72"/>
    <w:rsid w:val="BFA3E0A9"/>
    <w:rsid w:val="BFBE9746"/>
    <w:rsid w:val="BFEE2097"/>
    <w:rsid w:val="BFF08D3F"/>
    <w:rsid w:val="BFF726B6"/>
    <w:rsid w:val="BFF9D2A8"/>
    <w:rsid w:val="BFF9EC12"/>
    <w:rsid w:val="BFFB076B"/>
    <w:rsid w:val="BFFF0E1E"/>
    <w:rsid w:val="BFFF1C5F"/>
    <w:rsid w:val="C0E0B8B6"/>
    <w:rsid w:val="CEEAECA0"/>
    <w:rsid w:val="CFEFF72C"/>
    <w:rsid w:val="CFFFBB7F"/>
    <w:rsid w:val="D35BE837"/>
    <w:rsid w:val="D5CD7A0B"/>
    <w:rsid w:val="D5D24D83"/>
    <w:rsid w:val="D5DD48D7"/>
    <w:rsid w:val="D62FC795"/>
    <w:rsid w:val="D6E756C4"/>
    <w:rsid w:val="D7BB03B9"/>
    <w:rsid w:val="D7FEE4B2"/>
    <w:rsid w:val="D7FF22E0"/>
    <w:rsid w:val="D7FF62C1"/>
    <w:rsid w:val="D9F20E6B"/>
    <w:rsid w:val="D9FE68C8"/>
    <w:rsid w:val="DAFA28F6"/>
    <w:rsid w:val="DAFCF27C"/>
    <w:rsid w:val="DB7F5EA2"/>
    <w:rsid w:val="DBC3CC22"/>
    <w:rsid w:val="DBFBE02F"/>
    <w:rsid w:val="DBFEB0B3"/>
    <w:rsid w:val="DCABD0E6"/>
    <w:rsid w:val="DCFFEA6A"/>
    <w:rsid w:val="DDBFA72A"/>
    <w:rsid w:val="DDC77E7B"/>
    <w:rsid w:val="DDEFC384"/>
    <w:rsid w:val="DEB76E9A"/>
    <w:rsid w:val="DEBF56C2"/>
    <w:rsid w:val="DEFFCD32"/>
    <w:rsid w:val="DF5F1669"/>
    <w:rsid w:val="DF7765E3"/>
    <w:rsid w:val="DFE62D01"/>
    <w:rsid w:val="DFEEE68D"/>
    <w:rsid w:val="DFF78D97"/>
    <w:rsid w:val="DFF91EF5"/>
    <w:rsid w:val="DFFD0FB3"/>
    <w:rsid w:val="DFFD1361"/>
    <w:rsid w:val="DFFE0191"/>
    <w:rsid w:val="DFFFB934"/>
    <w:rsid w:val="E2EF82DD"/>
    <w:rsid w:val="E5F740A0"/>
    <w:rsid w:val="E67338B5"/>
    <w:rsid w:val="E76593ED"/>
    <w:rsid w:val="E76C943A"/>
    <w:rsid w:val="E7EEE072"/>
    <w:rsid w:val="E7FD1156"/>
    <w:rsid w:val="E7FEDDC3"/>
    <w:rsid w:val="E9A3E86F"/>
    <w:rsid w:val="E9FF7D91"/>
    <w:rsid w:val="EBD72DF1"/>
    <w:rsid w:val="EBDFEB96"/>
    <w:rsid w:val="ECBFD068"/>
    <w:rsid w:val="ECFF7A42"/>
    <w:rsid w:val="EDAFFA0C"/>
    <w:rsid w:val="EDBDACB7"/>
    <w:rsid w:val="EEBF8CF0"/>
    <w:rsid w:val="EED5A85B"/>
    <w:rsid w:val="EEFF353F"/>
    <w:rsid w:val="EF1E68C9"/>
    <w:rsid w:val="EF2AE15D"/>
    <w:rsid w:val="EF2F0C05"/>
    <w:rsid w:val="EF571914"/>
    <w:rsid w:val="EF5CC12A"/>
    <w:rsid w:val="EF6F5C08"/>
    <w:rsid w:val="EFBD14BB"/>
    <w:rsid w:val="EFCBE26B"/>
    <w:rsid w:val="EFD7BEB5"/>
    <w:rsid w:val="EFDFCC04"/>
    <w:rsid w:val="EFF96026"/>
    <w:rsid w:val="EFFF08A8"/>
    <w:rsid w:val="EFFF175E"/>
    <w:rsid w:val="EFFF2312"/>
    <w:rsid w:val="F1EF0C46"/>
    <w:rsid w:val="F2EF242B"/>
    <w:rsid w:val="F2F717BE"/>
    <w:rsid w:val="F36BECE3"/>
    <w:rsid w:val="F3DF1740"/>
    <w:rsid w:val="F4EF01F2"/>
    <w:rsid w:val="F4FF2FE7"/>
    <w:rsid w:val="F56D9B6C"/>
    <w:rsid w:val="F5EB2D55"/>
    <w:rsid w:val="F5EF948F"/>
    <w:rsid w:val="F5FFEDC2"/>
    <w:rsid w:val="F67D445C"/>
    <w:rsid w:val="F6EFEE2C"/>
    <w:rsid w:val="F6FF26DD"/>
    <w:rsid w:val="F75F15C1"/>
    <w:rsid w:val="F79FF254"/>
    <w:rsid w:val="F7BF1BB3"/>
    <w:rsid w:val="F7DC8E9D"/>
    <w:rsid w:val="F7DF030B"/>
    <w:rsid w:val="F7EC00CD"/>
    <w:rsid w:val="F7EE188A"/>
    <w:rsid w:val="F7EF966F"/>
    <w:rsid w:val="F7F90524"/>
    <w:rsid w:val="F7FB467F"/>
    <w:rsid w:val="F94FCE95"/>
    <w:rsid w:val="F967B21D"/>
    <w:rsid w:val="F9AEBDED"/>
    <w:rsid w:val="F9E3B03D"/>
    <w:rsid w:val="FA5E73CE"/>
    <w:rsid w:val="FA9FBECD"/>
    <w:rsid w:val="FAD5BAF0"/>
    <w:rsid w:val="FB73D0F2"/>
    <w:rsid w:val="FB7A29D8"/>
    <w:rsid w:val="FB7CFEDA"/>
    <w:rsid w:val="FB7D5011"/>
    <w:rsid w:val="FBAFF3BB"/>
    <w:rsid w:val="FBB7E0B9"/>
    <w:rsid w:val="FBBD6C5A"/>
    <w:rsid w:val="FBBFFD3F"/>
    <w:rsid w:val="FBCBFA33"/>
    <w:rsid w:val="FBCF20CC"/>
    <w:rsid w:val="FBCFDDD4"/>
    <w:rsid w:val="FBDEC98C"/>
    <w:rsid w:val="FBDF39CD"/>
    <w:rsid w:val="FBFECFD0"/>
    <w:rsid w:val="FBFFF893"/>
    <w:rsid w:val="FC1E3FB7"/>
    <w:rsid w:val="FC25E9F9"/>
    <w:rsid w:val="FC771552"/>
    <w:rsid w:val="FCEF2134"/>
    <w:rsid w:val="FD5FCB5B"/>
    <w:rsid w:val="FD62464E"/>
    <w:rsid w:val="FD7F49FA"/>
    <w:rsid w:val="FDB61FA9"/>
    <w:rsid w:val="FDC1D72C"/>
    <w:rsid w:val="FDD612F1"/>
    <w:rsid w:val="FDD72686"/>
    <w:rsid w:val="FDDFB021"/>
    <w:rsid w:val="FDF1CFE7"/>
    <w:rsid w:val="FDFF36E6"/>
    <w:rsid w:val="FE3789D4"/>
    <w:rsid w:val="FE7BB0E6"/>
    <w:rsid w:val="FEADBFCF"/>
    <w:rsid w:val="FEB70B1F"/>
    <w:rsid w:val="FEBF48BD"/>
    <w:rsid w:val="FEBFB981"/>
    <w:rsid w:val="FEDD1A2A"/>
    <w:rsid w:val="FEDF94E7"/>
    <w:rsid w:val="FEEA75FF"/>
    <w:rsid w:val="FEEE5F4D"/>
    <w:rsid w:val="FEEF33C4"/>
    <w:rsid w:val="FEF5BCF3"/>
    <w:rsid w:val="FEF79F1E"/>
    <w:rsid w:val="FEFB85AD"/>
    <w:rsid w:val="FEFBC5F7"/>
    <w:rsid w:val="FF2F5547"/>
    <w:rsid w:val="FF3F5CDE"/>
    <w:rsid w:val="FF578361"/>
    <w:rsid w:val="FF6B667E"/>
    <w:rsid w:val="FF783448"/>
    <w:rsid w:val="FF7F22E4"/>
    <w:rsid w:val="FF7FE78B"/>
    <w:rsid w:val="FF9E95BA"/>
    <w:rsid w:val="FFB0F0FB"/>
    <w:rsid w:val="FFCD9211"/>
    <w:rsid w:val="FFCFFA87"/>
    <w:rsid w:val="FFD5A10F"/>
    <w:rsid w:val="FFDB1E47"/>
    <w:rsid w:val="FFDFB5B0"/>
    <w:rsid w:val="FFDFD37B"/>
    <w:rsid w:val="FFE404A9"/>
    <w:rsid w:val="FFED28AE"/>
    <w:rsid w:val="FFF3FED0"/>
    <w:rsid w:val="FFF840EA"/>
    <w:rsid w:val="FFF95587"/>
    <w:rsid w:val="FFFA8A53"/>
    <w:rsid w:val="FFFBFE5B"/>
    <w:rsid w:val="FFFC200C"/>
    <w:rsid w:val="FFFE5A69"/>
    <w:rsid w:val="FFFFA6EC"/>
    <w:rsid w:val="FFFFD17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1084"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link w:val="28"/>
    <w:qFormat/>
    <w:uiPriority w:val="0"/>
    <w:pPr>
      <w:keepNext/>
      <w:keepLines/>
      <w:spacing w:line="576" w:lineRule="auto"/>
      <w:outlineLvl w:val="0"/>
    </w:pPr>
    <w:rPr>
      <w:b/>
      <w:kern w:val="44"/>
      <w:sz w:val="44"/>
    </w:rPr>
  </w:style>
  <w:style w:type="paragraph" w:styleId="3">
    <w:name w:val="heading 2"/>
    <w:basedOn w:val="1"/>
    <w:next w:val="1"/>
    <w:semiHidden/>
    <w:unhideWhenUsed/>
    <w:qFormat/>
    <w:uiPriority w:val="0"/>
    <w:pPr>
      <w:keepNext/>
      <w:keepLines/>
      <w:spacing w:line="413" w:lineRule="auto"/>
      <w:outlineLvl w:val="1"/>
    </w:pPr>
    <w:rPr>
      <w:rFonts w:ascii="Arial" w:hAnsi="Arial" w:eastAsia="黑体"/>
      <w:b/>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semiHidden/>
    <w:unhideWhenUsed/>
    <w:qFormat/>
    <w:uiPriority w:val="0"/>
    <w:pPr>
      <w:ind w:firstLine="0" w:firstLineChars="0"/>
      <w:jc w:val="center"/>
    </w:pPr>
    <w:rPr>
      <w:sz w:val="28"/>
    </w:rPr>
  </w:style>
  <w:style w:type="paragraph" w:styleId="7">
    <w:name w:val="annotation text"/>
    <w:qFormat/>
    <w:uiPriority w:val="0"/>
    <w:pPr>
      <w:widowControl w:val="0"/>
    </w:pPr>
    <w:rPr>
      <w:rFonts w:asciiTheme="minorHAnsi" w:hAnsiTheme="minorHAnsi" w:eastAsiaTheme="minorEastAsia" w:cstheme="minorBidi"/>
      <w:kern w:val="2"/>
      <w:sz w:val="21"/>
      <w:szCs w:val="24"/>
      <w:lang w:val="en-US" w:eastAsia="zh-CN" w:bidi="ar-SA"/>
    </w:rPr>
  </w:style>
  <w:style w:type="paragraph" w:styleId="8">
    <w:name w:val="Body Text"/>
    <w:basedOn w:val="1"/>
    <w:qFormat/>
    <w:uiPriority w:val="0"/>
    <w:pPr>
      <w:spacing w:after="120"/>
    </w:pPr>
  </w:style>
  <w:style w:type="paragraph" w:styleId="9">
    <w:name w:val="Date"/>
    <w:basedOn w:val="1"/>
    <w:next w:val="1"/>
    <w:unhideWhenUsed/>
    <w:qFormat/>
    <w:uiPriority w:val="99"/>
    <w:pPr>
      <w:spacing w:line="500" w:lineRule="exact"/>
      <w:jc w:val="center"/>
      <w:outlineLvl w:val="0"/>
    </w:pPr>
    <w:rPr>
      <w:rFonts w:ascii="楷体_GB2312" w:eastAsia="楷体_GB2312"/>
    </w:rPr>
  </w:style>
  <w:style w:type="paragraph" w:styleId="10">
    <w:name w:val="Balloon Text"/>
    <w:basedOn w:val="1"/>
    <w:link w:val="37"/>
    <w:qFormat/>
    <w:uiPriority w:val="0"/>
    <w:pPr>
      <w:spacing w:line="240" w:lineRule="auto"/>
    </w:pPr>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3">
    <w:name w:val="toc 1"/>
    <w:basedOn w:val="1"/>
    <w:next w:val="1"/>
    <w:qFormat/>
    <w:uiPriority w:val="0"/>
  </w:style>
  <w:style w:type="paragraph" w:styleId="14">
    <w:name w:val="Subtitle"/>
    <w:basedOn w:val="1"/>
    <w:next w:val="1"/>
    <w:qFormat/>
    <w:uiPriority w:val="11"/>
    <w:pPr>
      <w:spacing w:line="500" w:lineRule="exact"/>
      <w:jc w:val="center"/>
    </w:pPr>
    <w:rPr>
      <w:rFonts w:ascii="楷体_GB2312" w:eastAsia="楷体_GB2312"/>
    </w:rPr>
  </w:style>
  <w:style w:type="paragraph" w:styleId="15">
    <w:name w:val="footnote text"/>
    <w:basedOn w:val="1"/>
    <w:qFormat/>
    <w:uiPriority w:val="0"/>
    <w:pPr>
      <w:snapToGrid w:val="0"/>
      <w:jc w:val="left"/>
    </w:pPr>
    <w:rPr>
      <w:sz w:val="18"/>
    </w:rPr>
  </w:style>
  <w:style w:type="paragraph" w:styleId="16">
    <w:name w:val="Normal (Web)"/>
    <w:basedOn w:val="1"/>
    <w:qFormat/>
    <w:uiPriority w:val="0"/>
    <w:pPr>
      <w:spacing w:beforeAutospacing="1" w:afterAutospacing="1"/>
      <w:jc w:val="left"/>
    </w:pPr>
    <w:rPr>
      <w:rFonts w:cs="Times New Roman"/>
      <w:kern w:val="0"/>
      <w:sz w:val="24"/>
    </w:rPr>
  </w:style>
  <w:style w:type="table" w:styleId="1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0">
    <w:name w:val="Strong"/>
    <w:basedOn w:val="19"/>
    <w:qFormat/>
    <w:uiPriority w:val="0"/>
    <w:rPr>
      <w:b/>
    </w:rPr>
  </w:style>
  <w:style w:type="character" w:styleId="21">
    <w:name w:val="footnote reference"/>
    <w:basedOn w:val="19"/>
    <w:qFormat/>
    <w:uiPriority w:val="0"/>
    <w:rPr>
      <w:vertAlign w:val="superscript"/>
    </w:rPr>
  </w:style>
  <w:style w:type="paragraph" w:customStyle="1" w:styleId="22">
    <w:name w:val="二级标题"/>
    <w:basedOn w:val="3"/>
    <w:next w:val="1"/>
    <w:qFormat/>
    <w:uiPriority w:val="0"/>
    <w:pPr>
      <w:widowControl/>
      <w:numPr>
        <w:ilvl w:val="1"/>
        <w:numId w:val="1"/>
      </w:numPr>
      <w:wordWrap w:val="0"/>
      <w:snapToGrid w:val="0"/>
      <w:spacing w:line="580" w:lineRule="exact"/>
      <w:ind w:left="640" w:leftChars="200"/>
    </w:pPr>
    <w:rPr>
      <w:rFonts w:ascii="Times New Roman" w:hAnsi="Times New Roman" w:eastAsia="楷体" w:cs="Times New Roman"/>
      <w:b w:val="0"/>
      <w:bCs/>
      <w:color w:val="070707"/>
      <w:kern w:val="0"/>
      <w:szCs w:val="28"/>
    </w:rPr>
  </w:style>
  <w:style w:type="paragraph" w:customStyle="1" w:styleId="23">
    <w:name w:val="三级标题"/>
    <w:basedOn w:val="1"/>
    <w:next w:val="1"/>
    <w:qFormat/>
    <w:uiPriority w:val="0"/>
    <w:pPr>
      <w:widowControl/>
      <w:numPr>
        <w:ilvl w:val="0"/>
        <w:numId w:val="2"/>
      </w:numPr>
      <w:wordWrap w:val="0"/>
      <w:ind w:firstLine="640"/>
      <w:outlineLvl w:val="2"/>
    </w:pPr>
    <w:rPr>
      <w:rFonts w:cs="Times New Roman"/>
      <w:bCs/>
      <w:color w:val="070707"/>
      <w:kern w:val="0"/>
      <w:szCs w:val="28"/>
    </w:rPr>
  </w:style>
  <w:style w:type="paragraph" w:customStyle="1" w:styleId="24">
    <w:name w:val="四级标题"/>
    <w:basedOn w:val="1"/>
    <w:next w:val="1"/>
    <w:qFormat/>
    <w:uiPriority w:val="0"/>
    <w:pPr>
      <w:widowControl/>
      <w:numPr>
        <w:ilvl w:val="0"/>
        <w:numId w:val="3"/>
      </w:numPr>
      <w:wordWrap w:val="0"/>
      <w:ind w:left="0" w:firstLine="562"/>
      <w:outlineLvl w:val="3"/>
    </w:pPr>
    <w:rPr>
      <w:rFonts w:hint="eastAsia" w:ascii="宋体" w:hAnsi="宋体" w:cs="Times New Roman"/>
      <w:bCs/>
      <w:color w:val="070707"/>
      <w:kern w:val="0"/>
      <w:szCs w:val="28"/>
    </w:rPr>
  </w:style>
  <w:style w:type="paragraph" w:customStyle="1" w:styleId="25">
    <w:name w:val="一级标题"/>
    <w:basedOn w:val="2"/>
    <w:link w:val="31"/>
    <w:qFormat/>
    <w:uiPriority w:val="0"/>
    <w:pPr>
      <w:widowControl/>
      <w:numPr>
        <w:ilvl w:val="0"/>
        <w:numId w:val="4"/>
      </w:numPr>
      <w:wordWrap w:val="0"/>
      <w:spacing w:line="580" w:lineRule="exact"/>
      <w:ind w:firstLine="562"/>
    </w:pPr>
    <w:rPr>
      <w:rFonts w:hint="eastAsia" w:ascii="宋体" w:hAnsi="宋体" w:eastAsia="黑体" w:cs="Times New Roman"/>
      <w:bCs/>
      <w:color w:val="070707"/>
      <w:kern w:val="0"/>
      <w:sz w:val="32"/>
      <w:szCs w:val="28"/>
    </w:rPr>
  </w:style>
  <w:style w:type="paragraph" w:customStyle="1" w:styleId="26">
    <w:name w:val="总标题"/>
    <w:basedOn w:val="1"/>
    <w:next w:val="1"/>
    <w:qFormat/>
    <w:uiPriority w:val="0"/>
    <w:pPr>
      <w:ind w:firstLine="0" w:firstLineChars="0"/>
      <w:jc w:val="center"/>
      <w:outlineLvl w:val="0"/>
    </w:pPr>
    <w:rPr>
      <w:rFonts w:ascii="创艺简标宋" w:hAnsi="创艺简标宋" w:eastAsia="创艺简标宋" w:cs="Times New Roman"/>
      <w:b/>
      <w:bCs/>
      <w:kern w:val="44"/>
      <w:sz w:val="44"/>
      <w:szCs w:val="48"/>
    </w:rPr>
  </w:style>
  <w:style w:type="paragraph" w:customStyle="1" w:styleId="27">
    <w:name w:val="经信一级标题"/>
    <w:basedOn w:val="1"/>
    <w:next w:val="1"/>
    <w:qFormat/>
    <w:uiPriority w:val="0"/>
    <w:pPr>
      <w:keepNext/>
      <w:keepLines/>
      <w:widowControl/>
      <w:numPr>
        <w:ilvl w:val="0"/>
        <w:numId w:val="5"/>
      </w:numPr>
      <w:wordWrap w:val="0"/>
      <w:ind w:firstLine="562"/>
      <w:jc w:val="left"/>
      <w:outlineLvl w:val="0"/>
    </w:pPr>
    <w:rPr>
      <w:rFonts w:hint="eastAsia" w:ascii="宋体" w:hAnsi="宋体" w:eastAsia="黑体" w:cs="Times New Roman"/>
      <w:bCs/>
      <w:color w:val="070707"/>
      <w:kern w:val="0"/>
      <w:szCs w:val="28"/>
    </w:rPr>
  </w:style>
  <w:style w:type="character" w:customStyle="1" w:styleId="28">
    <w:name w:val="标题 1 Char"/>
    <w:link w:val="2"/>
    <w:qFormat/>
    <w:uiPriority w:val="0"/>
    <w:rPr>
      <w:rFonts w:ascii="Times New Roman" w:hAnsi="Times New Roman"/>
      <w:b/>
      <w:kern w:val="44"/>
      <w:sz w:val="44"/>
    </w:rPr>
  </w:style>
  <w:style w:type="paragraph" w:customStyle="1" w:styleId="29">
    <w:name w:val="正文缩进1"/>
    <w:basedOn w:val="1"/>
    <w:qFormat/>
    <w:uiPriority w:val="0"/>
    <w:pPr>
      <w:ind w:firstLine="200"/>
    </w:pPr>
  </w:style>
  <w:style w:type="paragraph" w:customStyle="1" w:styleId="30">
    <w:name w:val="WPSOffice手动目录 1"/>
    <w:qFormat/>
    <w:uiPriority w:val="0"/>
    <w:rPr>
      <w:rFonts w:ascii="Times New Roman" w:hAnsi="Times New Roman" w:eastAsia="宋体" w:cs="Times New Roman"/>
      <w:lang w:val="en-US" w:eastAsia="zh-CN" w:bidi="ar-SA"/>
    </w:rPr>
  </w:style>
  <w:style w:type="character" w:customStyle="1" w:styleId="31">
    <w:name w:val="一级标题 Char"/>
    <w:link w:val="25"/>
    <w:qFormat/>
    <w:uiPriority w:val="0"/>
    <w:rPr>
      <w:rFonts w:hint="eastAsia" w:ascii="宋体" w:hAnsi="宋体" w:eastAsia="黑体" w:cs="宋体"/>
      <w:bCs/>
      <w:color w:val="070707"/>
      <w:kern w:val="0"/>
      <w:sz w:val="32"/>
      <w:szCs w:val="28"/>
    </w:rPr>
  </w:style>
  <w:style w:type="paragraph" w:customStyle="1" w:styleId="32">
    <w:name w:val="修订1"/>
    <w:hidden/>
    <w:unhideWhenUsed/>
    <w:qFormat/>
    <w:uiPriority w:val="99"/>
    <w:rPr>
      <w:rFonts w:ascii="Times New Roman" w:hAnsi="Times New Roman" w:eastAsia="仿宋_GB2312" w:cstheme="minorBidi"/>
      <w:kern w:val="2"/>
      <w:sz w:val="32"/>
      <w:szCs w:val="24"/>
      <w:lang w:val="en-US" w:eastAsia="zh-CN" w:bidi="ar-SA"/>
    </w:rPr>
  </w:style>
  <w:style w:type="character" w:customStyle="1" w:styleId="33">
    <w:name w:val="公文二级标题 字符"/>
    <w:link w:val="34"/>
    <w:qFormat/>
    <w:uiPriority w:val="0"/>
    <w:rPr>
      <w:rFonts w:ascii="仿宋_GB2312" w:hAnsi="仿宋_GB2312" w:eastAsia="楷体_GB2312"/>
    </w:rPr>
  </w:style>
  <w:style w:type="paragraph" w:customStyle="1" w:styleId="34">
    <w:name w:val="公文二级标题"/>
    <w:basedOn w:val="3"/>
    <w:next w:val="35"/>
    <w:link w:val="33"/>
    <w:qFormat/>
    <w:uiPriority w:val="0"/>
    <w:pPr>
      <w:keepNext w:val="0"/>
      <w:keepLines w:val="0"/>
      <w:spacing w:line="580" w:lineRule="exact"/>
    </w:pPr>
    <w:rPr>
      <w:rFonts w:ascii="仿宋_GB2312" w:hAnsi="仿宋_GB2312" w:eastAsia="楷体_GB2312"/>
    </w:rPr>
  </w:style>
  <w:style w:type="paragraph" w:customStyle="1" w:styleId="35">
    <w:name w:val="公文正文"/>
    <w:basedOn w:val="1"/>
    <w:qFormat/>
    <w:uiPriority w:val="0"/>
  </w:style>
  <w:style w:type="paragraph" w:styleId="36">
    <w:name w:val="List Paragraph"/>
    <w:basedOn w:val="1"/>
    <w:unhideWhenUsed/>
    <w:qFormat/>
    <w:uiPriority w:val="99"/>
    <w:pPr>
      <w:ind w:firstLine="420"/>
    </w:pPr>
  </w:style>
  <w:style w:type="character" w:customStyle="1" w:styleId="37">
    <w:name w:val="批注框文本 Char"/>
    <w:basedOn w:val="19"/>
    <w:link w:val="10"/>
    <w:qFormat/>
    <w:uiPriority w:val="0"/>
    <w:rPr>
      <w:rFonts w:eastAsia="仿宋_GB2312" w:cstheme="minorBidi"/>
      <w:kern w:val="2"/>
      <w:sz w:val="18"/>
      <w:szCs w:val="18"/>
    </w:rPr>
  </w:style>
  <w:style w:type="character" w:customStyle="1" w:styleId="38">
    <w:name w:val="15"/>
    <w:basedOn w:val="19"/>
    <w:qFormat/>
    <w:uiPriority w:val="0"/>
    <w:rPr>
      <w:rFonts w:hint="default" w:ascii="仿宋" w:hAnsi="仿宋" w:eastAsia="仿宋" w:cs="仿宋"/>
    </w:rPr>
  </w:style>
  <w:style w:type="character" w:customStyle="1" w:styleId="39">
    <w:name w:val="10"/>
    <w:basedOn w:val="19"/>
    <w:qFormat/>
    <w:uiPriority w:val="0"/>
    <w:rPr>
      <w:rFonts w:hint="default" w:ascii="仿宋" w:hAnsi="仿宋" w:eastAsia="仿宋" w:cs="仿宋"/>
    </w:rPr>
  </w:style>
  <w:style w:type="paragraph" w:customStyle="1" w:styleId="40">
    <w:name w:val="公文标题一"/>
    <w:basedOn w:val="1"/>
    <w:qFormat/>
    <w:uiPriority w:val="0"/>
    <w:pPr>
      <w:ind w:firstLine="880"/>
      <w:jc w:val="left"/>
      <w:outlineLvl w:val="0"/>
    </w:pPr>
    <w:rPr>
      <w:rFonts w:eastAsia="黑体" w:cs="Times New Roman"/>
      <w:szCs w:val="32"/>
    </w:rPr>
  </w:style>
  <w:style w:type="paragraph" w:customStyle="1" w:styleId="41">
    <w:name w:val="公文正文1"/>
    <w:qFormat/>
    <w:uiPriority w:val="0"/>
    <w:pPr>
      <w:widowControl w:val="0"/>
      <w:spacing w:line="580" w:lineRule="exact"/>
      <w:ind w:firstLine="880" w:firstLineChars="200"/>
    </w:pPr>
    <w:rPr>
      <w:rFonts w:ascii="Times New Roman" w:hAnsi="Times New Roman" w:eastAsia="仿宋"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79</Pages>
  <Words>6521</Words>
  <Characters>6731</Characters>
  <Lines>277</Lines>
  <Paragraphs>78</Paragraphs>
  <TotalTime>278</TotalTime>
  <ScaleCrop>false</ScaleCrop>
  <LinksUpToDate>false</LinksUpToDate>
  <CharactersWithSpaces>6822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2025-03-23T22:21:00Z</dcterms:created>
  <dc:creator>华硕</dc:creator>
  <cp:lastModifiedBy>徐卫东</cp:lastModifiedBy>
  <dcterms:modified xsi:type="dcterms:W3CDTF">2026-09-09T01:50:43Z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952C70D42DE4486286DC61DA18B75ACD_13</vt:lpwstr>
  </property>
  <property fmtid="{D5CDD505-2E9C-101B-9397-08002B2CF9AE}" pid="4" name="KSOTemplateDocerSaveRecord">
    <vt:lpwstr>eyJoZGlkIjoiNzE4ZDU3ZTE2ZGU3OTFiZjhjN2NhNDQyMDJhZjFmZTciLCJ1c2VySWQiOiIxNTU0MzQ3NzAyIn0=</vt:lpwstr>
  </property>
</Properties>
</file>